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7"/>
        <w:ind w:firstLine="0"/>
        <w:rPr>
          <w:rFonts w:hint="eastAsia" w:eastAsia="黑体"/>
          <w:b/>
          <w:bCs/>
          <w:sz w:val="84"/>
        </w:rPr>
      </w:pPr>
      <w:r>
        <w:rPr>
          <w:rFonts w:hint="eastAsia" w:eastAsia="黑体"/>
          <w:b/>
          <w:bCs/>
          <w:sz w:val="84"/>
        </w:rPr>
      </w:r>
      <w:r/>
    </w:p>
    <w:p>
      <w:pPr>
        <w:pStyle w:val="108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87"/>
        <w:ind w:firstLine="1372"/>
        <w:rPr>
          <w:rFonts w:ascii="Times New Roman" w:hAnsi="Times New Roman"/>
          <w:b/>
          <w:bCs/>
          <w:sz w:val="32"/>
          <w:u w:val="single"/>
        </w:rPr>
      </w:pPr>
      <w:r>
        <w:rPr>
          <w:rFonts w:hint="eastAsia"/>
          <w:b/>
          <w:bCs/>
          <w:sz w:val="32"/>
        </w:rPr>
        <w:t xml:space="preserve">项目名称：</w:t>
      </w:r>
      <w:r>
        <w:rPr>
          <w:rFonts w:ascii="Times New Roman" w:hAnsi="Times New Roman"/>
          <w:b/>
          <w:bCs/>
          <w:sz w:val="32"/>
          <w:u w:val="single"/>
        </w:rPr>
        <w:t xml:space="preserve">南通市卫生健康委员会2025年系统</w:t>
      </w:r>
      <w:r>
        <w:rPr>
          <w:rFonts w:ascii="Times New Roman" w:hAnsi="Times New Roman"/>
          <w:b/>
          <w:bCs/>
          <w:sz w:val="32"/>
          <w:u w:val="single"/>
        </w:rPr>
      </w:r>
      <w:r/>
    </w:p>
    <w:p>
      <w:pPr>
        <w:pStyle w:val="1087"/>
        <w:ind w:firstLine="2249"/>
        <w:rPr>
          <w:rFonts w:ascii="Times New Roman" w:hAnsi="Times New Roman"/>
          <w:b/>
          <w:bCs/>
          <w:sz w:val="32"/>
        </w:rPr>
      </w:pPr>
      <w:r>
        <w:rPr>
          <w:rFonts w:ascii="Times New Roman" w:hAnsi="Times New Roman"/>
          <w:b/>
          <w:bCs/>
          <w:sz w:val="32"/>
        </w:rPr>
        <w:t xml:space="preserve">    </w:t>
      </w:r>
      <w:r>
        <w:rPr>
          <w:rFonts w:ascii="Times New Roman" w:hAnsi="Times New Roman"/>
          <w:b/>
          <w:bCs/>
          <w:sz w:val="32"/>
          <w:u w:val="single"/>
        </w:rPr>
        <w:t xml:space="preserve">改造项目</w:t>
      </w:r>
      <w:r>
        <w:rPr>
          <w:rFonts w:ascii="Times New Roman" w:hAnsi="Times New Roman"/>
          <w:b/>
          <w:bCs/>
          <w:sz w:val="32"/>
        </w:rPr>
      </w:r>
      <w:r/>
    </w:p>
    <w:p>
      <w:pPr>
        <w:pStyle w:val="998"/>
        <w:ind w:firstLine="1285"/>
        <w:rPr>
          <w:b/>
          <w:color w:val="000000"/>
          <w:sz w:val="30"/>
          <w:szCs w:val="30"/>
        </w:rPr>
      </w:pPr>
      <w:r>
        <w:rPr>
          <w:rFonts w:hint="eastAsia"/>
          <w:b/>
          <w:bCs/>
          <w:color w:val="000000"/>
          <w:sz w:val="32"/>
        </w:rPr>
        <w:t xml:space="preserve">项目编号：JSZC-320</w:t>
      </w:r>
      <w:r>
        <w:rPr>
          <w:rFonts w:hint="eastAsia"/>
          <w:b/>
          <w:bCs/>
          <w:color w:val="000000"/>
          <w:sz w:val="32"/>
          <w:lang w:val="en-US" w:eastAsia="zh-CN"/>
        </w:rPr>
        <w:t xml:space="preserve">6</w:t>
      </w:r>
      <w:r>
        <w:rPr>
          <w:rFonts w:hint="eastAsia"/>
          <w:b/>
          <w:bCs/>
          <w:color w:val="000000"/>
          <w:sz w:val="32"/>
        </w:rPr>
        <w:t xml:space="preserve">0</w:t>
      </w:r>
      <w:r>
        <w:rPr>
          <w:rFonts w:hint="eastAsia" w:ascii="Times New Roman" w:hAnsi="Times New Roman" w:eastAsia="宋体" w:cs="Times New Roman"/>
          <w:b/>
          <w:bCs/>
          <w:color w:val="000000"/>
          <w:sz w:val="32"/>
        </w:rPr>
        <w:t xml:space="preserve">0-JZCG-G2025-02</w:t>
      </w:r>
      <w:r>
        <w:rPr>
          <w:rFonts w:hint="eastAsia" w:ascii="Times New Roman" w:hAnsi="Times New Roman" w:eastAsia="宋体" w:cs="Times New Roman"/>
          <w:b/>
          <w:bCs/>
          <w:color w:val="000000"/>
          <w:sz w:val="32"/>
          <w:lang w:val="en-US" w:eastAsia="zh-CN"/>
        </w:rPr>
        <w:t xml:space="preserve">26</w:t>
      </w:r>
      <w:r>
        <w:rPr>
          <w:rFonts w:hint="eastAsia" w:ascii="Times New Roman" w:hAnsi="Times New Roman" w:eastAsia="宋体" w:cs="Times New Roman"/>
          <w:b/>
          <w:bCs/>
          <w:color w:val="000000"/>
          <w:sz w:val="32"/>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98"/>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spacing w:before="0" w:after="0"/>
        <w:rPr>
          <w:rFonts w:hint="eastAsia" w:ascii="宋体" w:hAnsi="宋体"/>
        </w:rPr>
      </w:pPr>
      <w:r>
        <w:rPr>
          <w:rFonts w:hint="eastAsia" w:ascii="宋体" w:hAnsi="宋体"/>
        </w:rPr>
      </w:r>
      <w:r/>
    </w:p>
    <w:p>
      <w:pPr>
        <w:pStyle w:val="108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108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108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1087"/>
        <w:ind w:firstLine="0"/>
        <w:rPr>
          <w:rFonts w:hint="eastAsia"/>
          <w:u w:val="single"/>
        </w:rPr>
      </w:pPr>
      <w:r>
        <w:rPr>
          <w:rFonts w:hint="eastAsia"/>
        </w:rPr>
        <w:t xml:space="preserve">                        </w:t>
      </w:r>
      <w:r>
        <w:rPr>
          <w:rFonts w:hint="eastAsia"/>
          <w:u w:val="single"/>
        </w:rPr>
      </w:r>
      <w:r/>
    </w:p>
    <w:p>
      <w:pPr>
        <w:pStyle w:val="1087"/>
        <w:ind w:firstLine="0"/>
        <w:jc w:val="center"/>
        <w:rPr>
          <w:rFonts w:hint="eastAsia"/>
        </w:rPr>
      </w:pPr>
      <w:r>
        <w:rPr>
          <w:rFonts w:hint="eastAsia"/>
        </w:rPr>
      </w:r>
      <w:r/>
    </w:p>
    <w:p>
      <w:pPr>
        <w:pStyle w:val="998"/>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98"/>
        <w:spacing w:line="480" w:lineRule="auto"/>
        <w:rPr>
          <w:rFonts w:hint="eastAsia" w:ascii="仿宋_GB2312" w:hAnsi="Arial" w:eastAsia="仿宋_GB2312"/>
          <w:b/>
          <w:sz w:val="28"/>
        </w:rPr>
      </w:pPr>
      <w:r>
        <w:rPr>
          <w:rFonts w:hint="eastAsia" w:ascii="仿宋_GB2312" w:hAnsi="Arial" w:eastAsia="仿宋_GB2312"/>
          <w:b/>
          <w:sz w:val="28"/>
        </w:rPr>
      </w:r>
      <w:r/>
    </w:p>
    <w:p>
      <w:pPr>
        <w:pStyle w:val="9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9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9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32</w:t>
      </w:r>
      <w:r>
        <w:rPr>
          <w:rFonts w:hint="eastAsia" w:ascii="黑体" w:hAnsi="Showcard Gothic" w:eastAsia="黑体"/>
          <w:sz w:val="36"/>
        </w:rPr>
      </w:r>
      <w:r/>
    </w:p>
    <w:p>
      <w:pPr>
        <w:pStyle w:val="9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77</w:t>
      </w:r>
      <w:r>
        <w:rPr>
          <w:rFonts w:hint="eastAsia" w:ascii="黑体" w:hAnsi="Showcard Gothic" w:eastAsia="黑体"/>
          <w:sz w:val="36"/>
        </w:rPr>
      </w:r>
      <w:r/>
    </w:p>
    <w:p>
      <w:pPr>
        <w:pStyle w:val="9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83</w:t>
      </w:r>
      <w:r>
        <w:rPr>
          <w:rFonts w:hint="eastAsia" w:ascii="黑体" w:hAnsi="Showcard Gothic" w:eastAsia="黑体"/>
          <w:sz w:val="36"/>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9"/>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99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98"/>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eastAsia="方正仿宋_GBK"/>
          <w:sz w:val="24"/>
          <w:szCs w:val="24"/>
        </w:rPr>
        <w:t xml:space="preserve">南通市卫生健康委员会</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eastAsia="方正仿宋_GBK"/>
          <w:sz w:val="24"/>
          <w:szCs w:val="24"/>
        </w:rPr>
        <w:t xml:space="preserve">南通市卫生健康委员会2025年系统改造项目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00-JZCG-G2025-02</w:t>
      </w:r>
      <w:r>
        <w:rPr>
          <w:rFonts w:hint="eastAsia" w:ascii="Times New Roman" w:hAnsi="Times New Roman" w:eastAsia="方正仿宋_GBK" w:cs="Times New Roman"/>
          <w:sz w:val="24"/>
          <w:szCs w:val="24"/>
          <w:lang w:val="en-US" w:eastAsia="zh-CN"/>
        </w:rPr>
        <w:t xml:space="preserve">26</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998"/>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98"/>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u w:val="single"/>
        </w:rPr>
        <w:t xml:space="preserve">南通市卫生健康委员会2025年系统改造项目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2025</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2</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22</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3</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1001"/>
        <w:ind w:firstLine="498"/>
        <w:spacing w:before="145" w:after="145" w:line="360" w:lineRule="auto"/>
        <w:rPr>
          <w:rFonts w:ascii="Times New Roman" w:hAnsi="Times New Roman" w:eastAsia="方正仿宋_GBK" w:cs="Times New Roman"/>
        </w:rPr>
      </w:pPr>
      <w:r/>
      <w:bookmarkStart w:id="6" w:name="_Toc35393790"/>
      <w:r/>
      <w:bookmarkStart w:id="7" w:name="_Toc35393621"/>
      <w:r/>
      <w:bookmarkStart w:id="8" w:name="_Toc28359079"/>
      <w:r/>
      <w:bookmarkStart w:id="9" w:name="_Toc28359002"/>
      <w:r/>
      <w:bookmarkStart w:id="10" w:name="_Toc38985263"/>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98"/>
        <w:ind w:firstLine="48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1.项目编号：</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00-JZCG-G2025-02</w:t>
      </w:r>
      <w:r>
        <w:rPr>
          <w:rFonts w:hint="eastAsia" w:ascii="Times New Roman" w:hAnsi="Times New Roman" w:eastAsia="方正仿宋_GBK" w:cs="Times New Roman"/>
          <w:sz w:val="24"/>
          <w:szCs w:val="24"/>
          <w:lang w:val="en-US" w:eastAsia="zh-CN"/>
        </w:rPr>
        <w:t xml:space="preserve">26</w:t>
      </w:r>
      <w:r>
        <w:rPr>
          <w:rFonts w:ascii="Times New Roman" w:hAnsi="Times New Roman" w:eastAsia="方正仿宋_GBK" w:cs="Times New Roman"/>
          <w:sz w:val="24"/>
          <w:szCs w:val="24"/>
          <w:lang w:val="en-US" w:eastAsia="zh-CN"/>
        </w:rPr>
      </w:r>
      <w:r/>
    </w:p>
    <w:p>
      <w:pPr>
        <w:pStyle w:val="998"/>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eastAsia="方正仿宋_GBK"/>
          <w:sz w:val="24"/>
          <w:szCs w:val="24"/>
        </w:rPr>
        <w:t xml:space="preserve">南通市卫生健康委员会2025年系统改造项目</w:t>
      </w:r>
      <w:r>
        <w:rPr>
          <w:rFonts w:ascii="Times New Roman" w:hAnsi="Times New Roman" w:eastAsia="方正仿宋_GBK" w:cs="Times New Roman"/>
          <w:sz w:val="24"/>
          <w:szCs w:val="24"/>
        </w:rPr>
      </w:r>
      <w:r/>
    </w:p>
    <w:p>
      <w:pPr>
        <w:pStyle w:val="998"/>
        <w:numPr>
          <w:ilvl w:val="0"/>
          <w:numId w:val="0"/>
        </w:numPr>
        <w:ind w:firstLine="480"/>
        <w:rPr>
          <w:rFonts w:hint="eastAsia" w:eastAsia="方正仿宋_GBK" w:cs="Times New Roman"/>
          <w:sz w:val="24"/>
          <w:szCs w:val="24"/>
          <w:lang w:val="en-US" w:eastAsia="zh-CN"/>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715.35万元</w:t>
      </w:r>
      <w:r>
        <w:rPr>
          <w:rFonts w:hint="eastAsia" w:eastAsia="方正仿宋_GBK" w:cs="Times New Roman"/>
          <w:sz w:val="24"/>
          <w:szCs w:val="24"/>
          <w:lang w:val="en-US" w:eastAsia="zh-CN"/>
        </w:rPr>
      </w:r>
      <w:r/>
    </w:p>
    <w:p>
      <w:pPr>
        <w:pStyle w:val="998"/>
        <w:ind w:firstLine="480"/>
        <w:rPr>
          <w:rFonts w:ascii="Times New Roman" w:hAnsi="Times New Roman" w:eastAsia="方正仿宋_GBK" w:cs="Times New Roman"/>
          <w:sz w:val="24"/>
          <w:szCs w:val="24"/>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lang w:val="en-US" w:eastAsia="zh-CN"/>
        </w:rPr>
        <w:t xml:space="preserve">715.35</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rPr>
      </w:r>
      <w:r/>
    </w:p>
    <w:p>
      <w:pPr>
        <w:pStyle w:val="998"/>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eastAsia="方正仿宋_GBK"/>
          <w:sz w:val="24"/>
          <w:szCs w:val="24"/>
          <w:highlight w:val="none"/>
        </w:rPr>
        <w:t xml:space="preserve">南通市卫生健康委员会2025年系统改造项目</w:t>
      </w:r>
      <w:r>
        <w:rPr>
          <w:rFonts w:hint="eastAsia" w:eastAsia="方正仿宋_GBK"/>
          <w:sz w:val="24"/>
          <w:szCs w:val="24"/>
          <w:highlight w:val="none"/>
        </w:rPr>
        <w:t xml:space="preserve">是纳入2</w:t>
      </w:r>
      <w:r>
        <w:rPr>
          <w:rFonts w:eastAsia="方正仿宋_GBK"/>
          <w:sz w:val="24"/>
          <w:szCs w:val="24"/>
          <w:highlight w:val="none"/>
        </w:rPr>
        <w:t xml:space="preserve">025</w:t>
      </w:r>
      <w:r>
        <w:rPr>
          <w:rFonts w:hint="eastAsia" w:eastAsia="方正仿宋_GBK"/>
          <w:sz w:val="24"/>
          <w:szCs w:val="24"/>
          <w:highlight w:val="none"/>
        </w:rPr>
        <w:t xml:space="preserve">年度数字政府项目建设计划的政务信息系统。其核心内容是</w:t>
      </w:r>
      <w:r>
        <w:rPr>
          <w:rFonts w:eastAsia="方正仿宋_GBK"/>
          <w:sz w:val="24"/>
          <w:szCs w:val="24"/>
        </w:rPr>
        <w:t xml:space="preserve">加强关键核心自主可控，带动国产基础软硬件持续迭代升级，对南通市卫生健康委员会现有信息系统全面适配、改造和升级。同时落实政务信息系统“一部门一系统”原则，推动政务信息系统资源整合、共享和开放，破解传统政府信息化建设中存在的“重复建设、数据孤岛、协同低效”等痛点，推动政务服务与治理能力向集约化、智能化、标准化方向转型升级。</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998"/>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eastAsia="方正仿宋_GBK"/>
          <w:sz w:val="24"/>
          <w:szCs w:val="24"/>
        </w:rPr>
        <w:t xml:space="preserve">12个月</w:t>
      </w:r>
      <w:r>
        <w:rPr>
          <w:rFonts w:ascii="Times New Roman" w:hAnsi="Times New Roman" w:eastAsia="方正仿宋_GBK" w:cs="Times New Roman"/>
          <w:sz w:val="24"/>
          <w:szCs w:val="24"/>
          <w:u w:val="single"/>
        </w:rPr>
      </w:r>
      <w:r/>
    </w:p>
    <w:p>
      <w:pPr>
        <w:pStyle w:val="1001"/>
        <w:ind w:firstLine="498"/>
        <w:spacing w:before="145" w:after="145" w:line="360" w:lineRule="auto"/>
        <w:rPr>
          <w:rFonts w:ascii="Times New Roman" w:hAnsi="Times New Roman" w:eastAsia="方正仿宋_GBK" w:cs="Times New Roman"/>
        </w:rPr>
      </w:pPr>
      <w:r/>
      <w:bookmarkStart w:id="12" w:name="_Toc35393791"/>
      <w:r/>
      <w:bookmarkStart w:id="13" w:name="_Toc35393622"/>
      <w:r/>
      <w:bookmarkStart w:id="14" w:name="_Toc28359080"/>
      <w:r/>
      <w:bookmarkStart w:id="15" w:name="_Toc28359003"/>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98"/>
        <w:ind w:firstLine="480"/>
        <w:rPr>
          <w:rFonts w:ascii="Times New Roman" w:hAnsi="Times New Roman" w:eastAsia="方正仿宋_GBK" w:cs="Times New Roman"/>
          <w:sz w:val="24"/>
          <w:szCs w:val="24"/>
        </w:rPr>
      </w:pPr>
      <w:r/>
      <w:bookmarkStart w:id="17" w:name="_Toc38985265"/>
      <w:r/>
      <w:bookmarkStart w:id="18" w:name="_Toc28359004"/>
      <w:r/>
      <w:bookmarkStart w:id="19" w:name="_Toc35393792"/>
      <w:r/>
      <w:bookmarkStart w:id="20" w:name="_Toc28359081"/>
      <w:r/>
      <w:bookmarkStart w:id="21" w:name="_Toc35393623"/>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98"/>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98"/>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98"/>
        <w:ind w:firstLine="480"/>
        <w:spacing w:line="480" w:lineRule="exact"/>
        <w:rPr>
          <w:rFonts w:hint="eastAsia" w:eastAsia="方正仿宋_GBK"/>
          <w:sz w:val="24"/>
          <w:szCs w:val="24"/>
          <w:highlight w:val="none"/>
        </w:rPr>
      </w:pPr>
      <w:r>
        <w:rPr>
          <w:rFonts w:ascii="Times New Roman" w:hAnsi="Times New Roman" w:eastAsia="方正仿宋_GBK" w:cs="Times New Roman"/>
          <w:sz w:val="24"/>
          <w:szCs w:val="24"/>
        </w:rPr>
        <w:t xml:space="preserve">3.</w:t>
      </w:r>
      <w:r>
        <w:rPr>
          <w:rFonts w:ascii="Times New Roman" w:hAnsi="Times New Roman" w:eastAsia="方正仿宋_GBK" w:cs="Times New Roman"/>
          <w:b/>
          <w:bCs/>
          <w:sz w:val="24"/>
          <w:szCs w:val="24"/>
        </w:rPr>
        <w:t xml:space="preserve">落实政府采购政策需满足的资格要求</w:t>
      </w:r>
      <w:r>
        <w:rPr>
          <w:rFonts w:ascii="Times New Roman" w:hAnsi="Times New Roman" w:eastAsia="方正仿宋_GBK" w:cs="Times New Roman"/>
          <w:sz w:val="24"/>
          <w:szCs w:val="24"/>
        </w:rPr>
        <w:t xml:space="preserve">：</w:t>
      </w:r>
      <w:r>
        <w:rPr>
          <w:rFonts w:hint="eastAsia" w:eastAsia="方正仿宋_GBK"/>
          <w:sz w:val="24"/>
          <w:szCs w:val="24"/>
          <w:highlight w:val="none"/>
        </w:rPr>
        <w:t xml:space="preserve">本项目不属于专门面向中小微企业采购的项目。</w:t>
      </w:r>
      <w:r>
        <w:rPr>
          <w:rFonts w:hint="eastAsia" w:eastAsia="方正仿宋_GBK"/>
          <w:sz w:val="24"/>
          <w:szCs w:val="24"/>
          <w:highlight w:val="none"/>
        </w:rPr>
      </w:r>
      <w:r/>
    </w:p>
    <w:p>
      <w:pPr>
        <w:pStyle w:val="998"/>
        <w:ind w:firstLine="480"/>
        <w:rPr>
          <w:rFonts w:hint="eastAsia" w:eastAsia="方正仿宋_GBK"/>
          <w:sz w:val="24"/>
          <w:szCs w:val="24"/>
          <w:highlight w:val="none"/>
        </w:rPr>
      </w:pPr>
      <w:r>
        <w:rPr>
          <w:rFonts w:hint="eastAsia" w:eastAsia="方正仿宋_GBK"/>
          <w:sz w:val="24"/>
          <w:szCs w:val="24"/>
          <w:highlight w:val="none"/>
        </w:rPr>
        <w:t xml:space="preserve">本项目预留部分采购项目预算专门面向中小微型企业采购。对于预留份额，提供的服务由符合政策要求的中小微型企业承接。预留份额通过以下措施进行,投标人可选择以下其中一种方式参与：（不接受联合体，接收分包）</w:t>
      </w:r>
      <w:r>
        <w:rPr>
          <w:rFonts w:hint="eastAsia" w:eastAsia="方正仿宋_GBK"/>
          <w:sz w:val="24"/>
          <w:szCs w:val="24"/>
          <w:highlight w:val="none"/>
        </w:rPr>
      </w:r>
      <w:r/>
    </w:p>
    <w:p>
      <w:pPr>
        <w:pStyle w:val="998"/>
        <w:ind w:firstLine="480"/>
        <w:rPr>
          <w:rFonts w:hint="eastAsia" w:eastAsia="方正仿宋_GBK"/>
          <w:sz w:val="24"/>
          <w:szCs w:val="24"/>
          <w:highlight w:val="none"/>
        </w:rPr>
      </w:pPr>
      <w:r>
        <w:rPr>
          <w:rFonts w:hint="eastAsia" w:eastAsia="方正仿宋_GBK"/>
          <w:sz w:val="24"/>
          <w:szCs w:val="24"/>
          <w:highlight w:val="none"/>
        </w:rPr>
        <w:t xml:space="preserve">   1</w:t>
      </w:r>
      <w:r>
        <w:rPr>
          <w:rFonts w:hint="eastAsia" w:eastAsia="方正仿宋_GBK"/>
          <w:sz w:val="24"/>
          <w:szCs w:val="24"/>
          <w:highlight w:val="none"/>
        </w:rPr>
        <w:t xml:space="preserve">、投标人属于大型企业的，必须将本项目合同分包给一家或者多家中小微型企业，中小微型企业承担的合同份额占合同金额的比例达到30%以上（其中预留给小微型企业的部分不低于60%），接受分包合同的中小微型企业与分包企业之间不得存在直接控股、管理关系。【提供符合上述比例的分包意向协议书、分包意向协议书上述比例全部服务的承接方的《中小微企业声明函》或由省级以上监狱管理局、戒毒管理局(含新疆生产建设兵团)出具的分包意向协议书上述比例的承接方属于监狱企业的证明文件或分包意向协议书上述比例承接方的《残疾人福利性单位声明函》】。</w:t>
      </w:r>
      <w:r>
        <w:rPr>
          <w:rFonts w:hint="eastAsia" w:eastAsia="方正仿宋_GBK"/>
          <w:sz w:val="24"/>
          <w:szCs w:val="24"/>
          <w:highlight w:val="none"/>
        </w:rPr>
      </w:r>
      <w:r/>
    </w:p>
    <w:p>
      <w:pPr>
        <w:pStyle w:val="998"/>
        <w:ind w:firstLine="480"/>
        <w:rPr>
          <w:rFonts w:hint="eastAsia" w:eastAsia="方正仿宋_GBK"/>
          <w:sz w:val="24"/>
          <w:szCs w:val="24"/>
          <w:highlight w:val="yellow"/>
        </w:rPr>
      </w:pPr>
      <w:r>
        <w:rPr>
          <w:rFonts w:hint="eastAsia" w:eastAsia="方正仿宋_GBK"/>
          <w:sz w:val="24"/>
          <w:szCs w:val="24"/>
          <w:highlight w:val="none"/>
        </w:rPr>
        <w:t xml:space="preserve">2、投标人属于中型企业的，必须将本项目合同分包给一家或者多家小微型企业，小微型企业承担的合同份额不低于合同金额的18%，接受分包合同的小微型企业与分包企业之间不得存在直接控股、管理关系。【提供符合上述比例的分包意向协议书、分包意向协议书上述比例全部服务的承接方的《中小微企业声明函》或由省级以上监狱管理局、戒毒管理局(含新疆生产建设兵团)出具的分包意向协议书上述比例的承接方属于监狱企业的证明文件或分包意向协议书上述比例的承接方的《残疾人福利性单位声明函》】。</w:t>
      </w:r>
      <w:r>
        <w:rPr>
          <w:rFonts w:hint="eastAsia" w:eastAsia="方正仿宋_GBK"/>
          <w:sz w:val="24"/>
          <w:szCs w:val="24"/>
          <w:highlight w:val="yellow"/>
        </w:rPr>
      </w:r>
      <w:r/>
    </w:p>
    <w:p>
      <w:pPr>
        <w:pStyle w:val="1010"/>
      </w:pPr>
      <w:r>
        <w:rPr>
          <w:rFonts w:hint="eastAsia" w:eastAsia="方正仿宋_GBK"/>
          <w:sz w:val="24"/>
          <w:szCs w:val="24"/>
          <w:highlight w:val="none"/>
        </w:rPr>
        <w:t xml:space="preserve">3、投标人属于小微型企业的，是否采取分包不作强制要求。【提供全部服务</w:t>
      </w:r>
      <w:r>
        <w:rPr>
          <w:rFonts w:hint="eastAsia" w:eastAsia="方正仿宋_GBK"/>
          <w:sz w:val="24"/>
          <w:szCs w:val="24"/>
          <w:highlight w:val="none"/>
        </w:rPr>
        <w:t xml:space="preserve">的承接方的《中小企业声明函》或由省级以上监狱管理局、戒毒管理局(含新疆生产建设兵团)出具的承接方属于监狱企业的证明文件或承接方的《残疾人福利性单位声明函》】。如采取合同分包，则只能分包给小微型企业。接受分包合同的小微型企业与分包企业之间不得存在直接控股、管理关系。【提供分包意向协议书、分包意向协议书各方全部服务的承接方的《中小微企业声明函》或由省级以上监狱管理局、戒毒管理局(含新疆生产建设兵团)出具的分包意向协议书各方的承接方属于监狱企业的证明文件或分包意向协议书各方的承接方的《残疾人福利性单位声明函》】。</w:t>
      </w:r>
      <w:r/>
    </w:p>
    <w:p>
      <w:pPr>
        <w:pStyle w:val="998"/>
        <w:numPr>
          <w:ilvl w:val="0"/>
          <w:numId w:val="0"/>
        </w:numPr>
        <w:ind w:firstLine="240"/>
        <w:spacing w:line="360" w:lineRule="auto"/>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lang w:eastAsia="zh-CN"/>
        </w:rPr>
      </w:r>
      <w:r/>
    </w:p>
    <w:p>
      <w:pPr>
        <w:pStyle w:val="998"/>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color w:val="000000"/>
          <w:sz w:val="24"/>
          <w:szCs w:val="24"/>
        </w:rPr>
        <w:t xml:space="preserve">本项目接受分包。</w:t>
      </w:r>
      <w:r>
        <w:rPr>
          <w:rFonts w:ascii="Times New Roman" w:hAnsi="Times New Roman" w:eastAsia="方正仿宋_GBK" w:cs="Times New Roman"/>
          <w:sz w:val="24"/>
          <w:szCs w:val="24"/>
          <w:highlight w:val="yellow"/>
        </w:rPr>
      </w:r>
      <w:r/>
    </w:p>
    <w:p>
      <w:pPr>
        <w:pStyle w:val="998"/>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98"/>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1001"/>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98"/>
        <w:ind w:firstLine="540"/>
        <w:spacing w:line="360" w:lineRule="auto"/>
        <w:rPr>
          <w:rFonts w:ascii="Times New Roman" w:hAnsi="Times New Roman" w:eastAsia="方正仿宋_GBK" w:cs="Times New Roman"/>
          <w:sz w:val="24"/>
          <w:szCs w:val="24"/>
        </w:rPr>
      </w:pPr>
      <w:r/>
      <w:bookmarkStart w:id="22" w:name="_Toc28359082"/>
      <w:r/>
      <w:bookmarkStart w:id="23" w:name="_Toc28359005"/>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98"/>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1001"/>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98"/>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025</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2</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22</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3</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998"/>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1001"/>
        <w:ind w:firstLine="498"/>
        <w:spacing w:before="145" w:after="145" w:line="360" w:lineRule="auto"/>
        <w:rPr>
          <w:rFonts w:ascii="Times New Roman" w:hAnsi="Times New Roman" w:eastAsia="方正仿宋_GBK" w:cs="Times New Roman"/>
        </w:rPr>
      </w:pPr>
      <w:r/>
      <w:bookmarkStart w:id="27" w:name="_Toc35393625"/>
      <w:r/>
      <w:bookmarkStart w:id="28" w:name="_Toc38985267"/>
      <w:r/>
      <w:bookmarkStart w:id="29" w:name="_Toc28359084"/>
      <w:r/>
      <w:bookmarkStart w:id="30" w:name="_Toc28359007"/>
      <w:r/>
      <w:bookmarkStart w:id="31" w:name="_Toc3539379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98"/>
        <w:ind w:firstLine="480"/>
        <w:rPr>
          <w:rFonts w:ascii="Times New Roman" w:hAnsi="Times New Roman" w:eastAsia="方正仿宋_GBK" w:cs="Times New Roman"/>
          <w:sz w:val="24"/>
          <w:szCs w:val="24"/>
        </w:rPr>
      </w:pPr>
      <w:r/>
      <w:bookmarkStart w:id="32" w:name="_Toc35393626"/>
      <w:r/>
      <w:bookmarkStart w:id="33" w:name="_Toc38985268"/>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1001"/>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98"/>
        <w:ind w:firstLine="480"/>
        <w:spacing w:line="480" w:lineRule="exact"/>
        <w:rPr>
          <w:rFonts w:ascii="Times New Roman" w:hAnsi="Times New Roman" w:eastAsia="方正仿宋_GBK" w:cs="Times New Roman"/>
          <w:sz w:val="24"/>
          <w:szCs w:val="24"/>
        </w:rPr>
      </w:pPr>
      <w:r/>
      <w:bookmarkStart w:id="35" w:name="_Toc35393627"/>
      <w:r/>
      <w:bookmarkStart w:id="36" w:name="_Toc28359085"/>
      <w:r/>
      <w:bookmarkStart w:id="37" w:name="_Toc35393796"/>
      <w:r/>
      <w:bookmarkStart w:id="38" w:name="_Toc28359008"/>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详见第四章采购需求。</w:t>
      </w:r>
      <w:r>
        <w:rPr>
          <w:rFonts w:ascii="Times New Roman" w:hAnsi="Times New Roman" w:eastAsia="方正仿宋_GBK" w:cs="Times New Roman"/>
          <w:sz w:val="24"/>
          <w:szCs w:val="24"/>
          <w:highlight w:val="yellow"/>
          <w:lang w:val="en-US" w:eastAsia="zh-CN"/>
        </w:rPr>
      </w:r>
      <w:r/>
    </w:p>
    <w:p>
      <w:pPr>
        <w:pStyle w:val="998"/>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998"/>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98"/>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98"/>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98"/>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98"/>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98"/>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98"/>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1001"/>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98"/>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98"/>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eastAsia="方正仿宋_GBK"/>
          <w:sz w:val="24"/>
          <w:szCs w:val="24"/>
          <w:u w:val="single"/>
        </w:rPr>
        <w:t xml:space="preserve">南通市卫生健康委员会</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eastAsia="方正仿宋_GBK"/>
          <w:sz w:val="24"/>
          <w:szCs w:val="24"/>
          <w:u w:val="single"/>
        </w:rPr>
        <w:t xml:space="preserve">南通市崇川区崇文路1号启瑞广场5楼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eastAsia="方正仿宋_GBK"/>
          <w:sz w:val="24"/>
          <w:szCs w:val="24"/>
          <w:u w:val="single"/>
        </w:rPr>
        <w:t xml:space="preserve">吴先生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eastAsia="方正仿宋_GBK"/>
          <w:sz w:val="24"/>
          <w:szCs w:val="24"/>
          <w:u w:val="single"/>
        </w:rPr>
        <w:t xml:space="preserve">0513-59009032</w:t>
      </w:r>
      <w:r>
        <w:rPr>
          <w:rFonts w:ascii="Times New Roman" w:hAnsi="Times New Roman" w:eastAsia="方正仿宋_GBK" w:cs="Times New Roman"/>
          <w:sz w:val="24"/>
          <w:szCs w:val="24"/>
          <w:u w:val="single"/>
        </w:rPr>
        <w:t xml:space="preserve">　　　</w:t>
      </w:r>
      <w:bookmarkStart w:id="40" w:name="_Toc28359009"/>
      <w:r/>
      <w:bookmarkStart w:id="41" w:name="_Toc28359086"/>
      <w:r>
        <w:rPr>
          <w:rFonts w:ascii="Times New Roman" w:hAnsi="Times New Roman" w:eastAsia="方正仿宋_GBK" w:cs="Times New Roman"/>
          <w:sz w:val="24"/>
          <w:szCs w:val="24"/>
          <w:u w:val="single"/>
        </w:rPr>
      </w:r>
      <w:r/>
    </w:p>
    <w:p>
      <w:pPr>
        <w:pStyle w:val="998"/>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98"/>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998"/>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998"/>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沈凤凤</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98"/>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98"/>
        <w:ind w:firstLine="480"/>
        <w:spacing w:line="560" w:lineRule="exact"/>
        <w:rPr>
          <w:rFonts w:hint="eastAsia" w:ascii="宋体" w:hAnsi="宋体"/>
          <w:sz w:val="24"/>
        </w:rPr>
      </w:pPr>
      <w:r/>
      <w:bookmarkEnd w:id="42"/>
      <w:r/>
      <w:bookmarkEnd w:id="43"/>
      <w:r>
        <w:rPr>
          <w:rFonts w:hint="eastAsia" w:ascii="宋体" w:hAnsi="宋体"/>
          <w:sz w:val="24"/>
        </w:rPr>
      </w:r>
      <w:r/>
    </w:p>
    <w:p>
      <w:pPr>
        <w:pStyle w:val="998"/>
        <w:ind w:right="840"/>
        <w:rPr>
          <w:rFonts w:hint="eastAsia" w:ascii="宋体" w:hAnsi="宋体"/>
          <w:sz w:val="24"/>
          <w:szCs w:val="24"/>
        </w:rPr>
      </w:pPr>
      <w:r>
        <w:rPr>
          <w:rFonts w:hint="eastAsia" w:ascii="宋体" w:hAnsi="宋体"/>
          <w:sz w:val="24"/>
          <w:szCs w:val="24"/>
        </w:rPr>
      </w:r>
      <w:r/>
    </w:p>
    <w:p>
      <w:pPr>
        <w:pStyle w:val="1066"/>
        <w:rPr>
          <w:rFonts w:hint="eastAsia" w:ascii="宋体" w:hAnsi="宋体"/>
          <w:sz w:val="24"/>
          <w:szCs w:val="24"/>
        </w:rPr>
      </w:pPr>
      <w:r>
        <w:rPr>
          <w:rFonts w:hint="eastAsia" w:ascii="宋体" w:hAnsi="宋体"/>
          <w:sz w:val="24"/>
          <w:szCs w:val="24"/>
        </w:rPr>
      </w:r>
      <w:r/>
    </w:p>
    <w:p>
      <w:pPr>
        <w:pStyle w:val="1066"/>
        <w:rPr>
          <w:rFonts w:hint="eastAsia" w:ascii="宋体" w:hAnsi="宋体"/>
          <w:sz w:val="24"/>
          <w:szCs w:val="24"/>
        </w:rPr>
      </w:pPr>
      <w:r>
        <w:rPr>
          <w:rFonts w:hint="eastAsia" w:ascii="宋体" w:hAnsi="宋体"/>
          <w:sz w:val="24"/>
          <w:szCs w:val="24"/>
        </w:rPr>
      </w:r>
      <w:r/>
    </w:p>
    <w:p>
      <w:pPr>
        <w:pStyle w:val="1066"/>
        <w:rPr>
          <w:rFonts w:hint="eastAsia" w:ascii="宋体" w:hAnsi="宋体"/>
          <w:sz w:val="24"/>
          <w:szCs w:val="24"/>
        </w:rPr>
      </w:pPr>
      <w:r>
        <w:rPr>
          <w:rFonts w:hint="eastAsia" w:ascii="宋体" w:hAnsi="宋体"/>
          <w:sz w:val="24"/>
          <w:szCs w:val="24"/>
        </w:rPr>
      </w:r>
      <w:r/>
    </w:p>
    <w:p>
      <w:pPr>
        <w:pStyle w:val="100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1001"/>
        <w:ind w:firstLine="498"/>
        <w:spacing w:before="145" w:after="145" w:line="360" w:lineRule="auto"/>
        <w:rPr>
          <w:rFonts w:ascii="Times New Roman" w:hAnsi="Times New Roman" w:eastAsia="方正仿宋_GBK" w:cs="Times New Roman"/>
        </w:rPr>
      </w:pPr>
      <w:r/>
      <w:bookmarkStart w:id="49" w:name="_Toc16938519"/>
      <w:r/>
      <w:bookmarkStart w:id="50" w:name="_Toc20823275"/>
      <w:r/>
      <w:bookmarkStart w:id="51" w:name="_Toc120614214"/>
      <w:r/>
      <w:bookmarkStart w:id="52" w:name="_Toc513029203"/>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1002"/>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1002"/>
        <w:ind w:firstLine="420"/>
        <w:spacing w:before="0" w:after="0" w:line="240" w:lineRule="auto"/>
        <w:rPr>
          <w:rFonts w:ascii="Times New Roman" w:hAnsi="Times New Roman" w:eastAsia="方正仿宋_GBK" w:cs="Times New Roman"/>
          <w:b w:val="0"/>
          <w:bCs w:val="0"/>
        </w:rPr>
      </w:pPr>
      <w:r/>
      <w:bookmarkStart w:id="58" w:name="_Toc20823277"/>
      <w:r/>
      <w:bookmarkStart w:id="59" w:name="_Toc16938521"/>
      <w:r/>
      <w:bookmarkStart w:id="60" w:name="_Toc513029205"/>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98"/>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98"/>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bookmarkStart w:id="61" w:name="_Toc513029206"/>
      <w:r/>
      <w:bookmarkStart w:id="62" w:name="_Toc20823278"/>
      <w:r/>
      <w:bookmarkStart w:id="63" w:name="_Toc16938522"/>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998"/>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1002"/>
        <w:ind w:firstLine="420"/>
        <w:spacing w:before="0" w:after="0" w:line="240" w:lineRule="auto"/>
        <w:rPr>
          <w:rFonts w:ascii="Times New Roman" w:hAnsi="Times New Roman" w:eastAsia="方正仿宋_GBK" w:cs="Times New Roman"/>
          <w:b w:val="0"/>
          <w:bCs w:val="0"/>
        </w:rPr>
      </w:pPr>
      <w:r/>
      <w:bookmarkStart w:id="64" w:name="_Toc20823279"/>
      <w:r/>
      <w:bookmarkStart w:id="65" w:name="_Toc16938523"/>
      <w:r/>
      <w:bookmarkStart w:id="66" w:name="_Toc462564067"/>
      <w:r/>
      <w:bookmarkStart w:id="67" w:name="_Toc513029207"/>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1002"/>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1001"/>
        <w:ind w:firstLine="321"/>
        <w:spacing w:before="145" w:after="145" w:line="360" w:lineRule="auto"/>
        <w:rPr>
          <w:rFonts w:ascii="Times New Roman" w:hAnsi="Times New Roman" w:eastAsia="方正仿宋_GBK" w:cs="Times New Roman"/>
        </w:rPr>
      </w:pPr>
      <w:r/>
      <w:bookmarkStart w:id="68" w:name="_Toc20823281"/>
      <w:r/>
      <w:bookmarkStart w:id="69" w:name="_Toc513029209"/>
      <w:r/>
      <w:bookmarkStart w:id="70" w:name="_Toc16938525"/>
      <w:r/>
      <w:bookmarkStart w:id="71" w:name="_Toc120614215"/>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1002"/>
        <w:ind w:firstLine="420"/>
        <w:spacing w:before="0" w:after="0" w:line="240" w:lineRule="auto"/>
        <w:rPr>
          <w:rFonts w:ascii="Times New Roman" w:hAnsi="Times New Roman" w:eastAsia="方正仿宋_GBK" w:cs="Times New Roman"/>
          <w:b w:val="0"/>
          <w:bCs w:val="0"/>
        </w:rPr>
      </w:pPr>
      <w:r/>
      <w:bookmarkStart w:id="72" w:name="_Toc513029210"/>
      <w:r/>
      <w:bookmarkStart w:id="73" w:name="_Toc16938526"/>
      <w:r/>
      <w:bookmarkStart w:id="74" w:name="_Toc20823282"/>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98"/>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98"/>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98"/>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98"/>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98"/>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98"/>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1002"/>
        <w:ind w:firstLine="560"/>
        <w:spacing w:before="0" w:after="0" w:line="240" w:lineRule="auto"/>
        <w:rPr>
          <w:rFonts w:ascii="Times New Roman" w:hAnsi="Times New Roman" w:eastAsia="方正仿宋_GBK" w:cs="Times New Roman"/>
          <w:b w:val="0"/>
          <w:bCs w:val="0"/>
        </w:rPr>
      </w:pPr>
      <w:r/>
      <w:bookmarkStart w:id="75" w:name="_Toc513029211"/>
      <w:r/>
      <w:bookmarkStart w:id="76" w:name="_Toc20823283"/>
      <w:r/>
      <w:bookmarkStart w:id="77" w:name="_Toc462564070"/>
      <w:r/>
      <w:bookmarkStart w:id="78" w:name="_Toc16938527"/>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998"/>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1002"/>
        <w:ind w:firstLine="560"/>
        <w:spacing w:before="0" w:after="0" w:line="240" w:lineRule="auto"/>
        <w:rPr>
          <w:rFonts w:ascii="Times New Roman" w:hAnsi="Times New Roman" w:eastAsia="方正仿宋_GBK" w:cs="Times New Roman"/>
          <w:b w:val="0"/>
          <w:bCs w:val="0"/>
        </w:rPr>
      </w:pPr>
      <w:r/>
      <w:bookmarkStart w:id="79" w:name="_Toc20823284"/>
      <w:r/>
      <w:bookmarkStart w:id="80" w:name="_Toc513029212"/>
      <w:r/>
      <w:bookmarkStart w:id="81" w:name="_Toc16938528"/>
      <w:r/>
      <w:bookmarkStart w:id="82" w:name="_Toc462564071"/>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1001"/>
        <w:ind w:firstLine="482"/>
        <w:spacing w:before="145" w:after="145" w:line="360" w:lineRule="auto"/>
        <w:rPr>
          <w:rFonts w:ascii="Times New Roman" w:hAnsi="Times New Roman" w:eastAsia="方正仿宋_GBK" w:cs="Times New Roman"/>
        </w:rPr>
      </w:pPr>
      <w:r/>
      <w:bookmarkStart w:id="83" w:name="_Toc20823285"/>
      <w:r/>
      <w:bookmarkStart w:id="84" w:name="_Toc16938529"/>
      <w:r/>
      <w:bookmarkStart w:id="85" w:name="_Toc513029213"/>
      <w:r/>
      <w:bookmarkStart w:id="86" w:name="_Toc462564072"/>
      <w:r/>
      <w:bookmarkStart w:id="87" w:name="_Toc120614216"/>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1002"/>
        <w:ind w:firstLine="280"/>
        <w:spacing w:before="0" w:after="0" w:line="240" w:lineRule="auto"/>
        <w:rPr>
          <w:rFonts w:ascii="Times New Roman" w:hAnsi="Times New Roman" w:eastAsia="方正仿宋_GBK" w:cs="Times New Roman"/>
          <w:bCs w:val="0"/>
        </w:rPr>
      </w:pPr>
      <w:r/>
      <w:bookmarkStart w:id="88" w:name="_Toc20823286"/>
      <w:r/>
      <w:bookmarkStart w:id="89" w:name="_Toc513029214"/>
      <w:r/>
      <w:bookmarkStart w:id="90" w:name="_Toc462564073"/>
      <w:r/>
      <w:bookmarkStart w:id="91" w:name="_Toc16938530"/>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1002"/>
        <w:ind w:firstLine="420"/>
        <w:spacing w:before="0" w:after="0" w:line="240" w:lineRule="auto"/>
        <w:rPr>
          <w:rFonts w:ascii="Times New Roman" w:hAnsi="Times New Roman" w:eastAsia="方正仿宋_GBK" w:cs="Times New Roman"/>
          <w:b w:val="0"/>
          <w:bCs w:val="0"/>
        </w:rPr>
      </w:pPr>
      <w:r/>
      <w:bookmarkStart w:id="92" w:name="_Toc20823287"/>
      <w:r/>
      <w:bookmarkStart w:id="93" w:name="_Toc513029215"/>
      <w:r/>
      <w:bookmarkStart w:id="94" w:name="_Toc16938531"/>
      <w:r/>
      <w:bookmarkStart w:id="95" w:name="_Toc462564074"/>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998"/>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98"/>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1002"/>
        <w:ind w:firstLine="420"/>
        <w:spacing w:before="0" w:after="0" w:line="240" w:lineRule="auto"/>
        <w:rPr>
          <w:rFonts w:ascii="Times New Roman" w:hAnsi="Times New Roman" w:eastAsia="方正仿宋_GBK" w:cs="Times New Roman"/>
          <w:b w:val="0"/>
          <w:bCs w:val="0"/>
        </w:rPr>
      </w:pPr>
      <w:r/>
      <w:bookmarkStart w:id="96" w:name="_Hlt26954838"/>
      <w:r/>
      <w:bookmarkEnd w:id="96"/>
      <w:r/>
      <w:bookmarkStart w:id="97" w:name="_Hlt26668975"/>
      <w:r/>
      <w:bookmarkEnd w:id="97"/>
      <w:r/>
      <w:bookmarkStart w:id="98" w:name="_Hlt26670360"/>
      <w:r/>
      <w:bookmarkEnd w:id="98"/>
      <w:r/>
      <w:bookmarkStart w:id="99" w:name="_Toc14577357"/>
      <w:r/>
      <w:bookmarkStart w:id="100" w:name="_Toc513029219"/>
      <w:r/>
      <w:bookmarkStart w:id="101" w:name="_Toc49090509"/>
      <w:r/>
      <w:bookmarkStart w:id="102" w:name="_Toc14577354"/>
      <w:r/>
      <w:bookmarkStart w:id="103" w:name="_Toc49090507"/>
      <w:r/>
      <w:bookmarkStart w:id="104" w:name="_Toc513029216"/>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998"/>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1002"/>
        <w:ind w:firstLine="420"/>
        <w:spacing w:before="0" w:after="0" w:line="240" w:lineRule="auto"/>
        <w:rPr>
          <w:rFonts w:ascii="Times New Roman" w:hAnsi="Times New Roman" w:eastAsia="方正仿宋_GBK" w:cs="Times New Roman"/>
          <w:b w:val="0"/>
          <w:bCs w:val="0"/>
        </w:rPr>
      </w:pPr>
      <w:r/>
      <w:bookmarkStart w:id="110" w:name="_Hlt26954848"/>
      <w:r/>
      <w:bookmarkEnd w:id="110"/>
      <w:r/>
      <w:bookmarkStart w:id="111" w:name="_Hlt26670486"/>
      <w:r/>
      <w:bookmarkEnd w:id="111"/>
      <w:r/>
      <w:bookmarkStart w:id="112" w:name="_Hlt26954846"/>
      <w:r/>
      <w:bookmarkEnd w:id="112"/>
      <w:r/>
      <w:bookmarkStart w:id="113" w:name="_Hlt26954844"/>
      <w:r/>
      <w:bookmarkEnd w:id="113"/>
      <w:r/>
      <w:bookmarkStart w:id="114" w:name="_Hlt26670403"/>
      <w:r/>
      <w:bookmarkEnd w:id="114"/>
      <w:r/>
      <w:bookmarkStart w:id="115" w:name="_Hlt26954731"/>
      <w:r/>
      <w:bookmarkEnd w:id="115"/>
      <w:r/>
      <w:bookmarkStart w:id="116" w:name="_Hlt26668983"/>
      <w:r/>
      <w:bookmarkEnd w:id="116"/>
      <w:r/>
      <w:bookmarkStart w:id="117" w:name="_Hlt26954842"/>
      <w:r/>
      <w:bookmarkEnd w:id="117"/>
      <w:r/>
      <w:bookmarkStart w:id="118" w:name="_Hlt26670482"/>
      <w:r/>
      <w:bookmarkEnd w:id="118"/>
      <w:r/>
      <w:bookmarkStart w:id="119" w:name="_Hlt26670425"/>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98"/>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1002"/>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1002"/>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1002"/>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1001"/>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16938540"/>
      <w:r/>
      <w:bookmarkStart w:id="130" w:name="_Toc20823296"/>
      <w:r/>
      <w:bookmarkStart w:id="131" w:name="_Toc513029224"/>
      <w:r/>
      <w:bookmarkStart w:id="132" w:name="_Toc120614217"/>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1002"/>
        <w:ind w:firstLine="560"/>
        <w:spacing w:before="0" w:after="0" w:line="240" w:lineRule="auto"/>
        <w:rPr>
          <w:rFonts w:ascii="Times New Roman" w:hAnsi="Times New Roman" w:eastAsia="方正仿宋_GBK" w:cs="Times New Roman"/>
          <w:b w:val="0"/>
          <w:bCs w:val="0"/>
        </w:rPr>
      </w:pPr>
      <w:r/>
      <w:bookmarkStart w:id="133" w:name="_Toc20823297"/>
      <w:r/>
      <w:bookmarkStart w:id="134" w:name="_Toc513029225"/>
      <w:r/>
      <w:bookmarkStart w:id="135" w:name="_Toc16938541"/>
      <w:r/>
      <w:bookmarkStart w:id="136" w:name="_Toc462564084"/>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112"/>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513029226"/>
      <w:r/>
      <w:bookmarkStart w:id="138" w:name="_Toc16938542"/>
      <w:r/>
      <w:bookmarkStart w:id="139" w:name="_Toc20823298"/>
      <w:r>
        <w:rPr>
          <w:rFonts w:ascii="Times New Roman" w:hAnsi="Times New Roman" w:eastAsia="方正仿宋_GBK" w:cs="Times New Roman"/>
          <w:bCs/>
          <w:sz w:val="24"/>
        </w:rPr>
      </w:r>
      <w:r/>
    </w:p>
    <w:p>
      <w:pPr>
        <w:pStyle w:val="1002"/>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98"/>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1002"/>
        <w:ind w:firstLine="420"/>
        <w:spacing w:before="0" w:after="0" w:line="240" w:lineRule="auto"/>
        <w:rPr>
          <w:rFonts w:ascii="Times New Roman" w:hAnsi="Times New Roman" w:eastAsia="方正仿宋_GBK" w:cs="Times New Roman"/>
          <w:b w:val="0"/>
          <w:bCs w:val="0"/>
        </w:rPr>
      </w:pPr>
      <w:r/>
      <w:bookmarkStart w:id="140" w:name="_Toc20823299"/>
      <w:r/>
      <w:bookmarkStart w:id="141" w:name="_Toc513029227"/>
      <w:r/>
      <w:bookmarkStart w:id="142" w:name="_Toc16938543"/>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1002"/>
        <w:ind w:firstLine="420"/>
        <w:spacing w:before="0" w:after="0" w:line="240" w:lineRule="auto"/>
        <w:rPr>
          <w:rFonts w:ascii="Times New Roman" w:hAnsi="Times New Roman" w:eastAsia="方正仿宋_GBK" w:cs="Times New Roman"/>
          <w:b w:val="0"/>
          <w:bCs w:val="0"/>
        </w:rPr>
      </w:pPr>
      <w:r/>
      <w:bookmarkStart w:id="143" w:name="_Toc513029228"/>
      <w:r/>
      <w:bookmarkStart w:id="144" w:name="_Toc20823300"/>
      <w:r/>
      <w:bookmarkStart w:id="145" w:name="_Toc16938544"/>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998"/>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98"/>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98"/>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98"/>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1001"/>
        <w:ind w:firstLine="482"/>
        <w:spacing w:before="145" w:after="145" w:line="360" w:lineRule="auto"/>
        <w:rPr>
          <w:rFonts w:ascii="Times New Roman" w:hAnsi="Times New Roman" w:eastAsia="方正仿宋_GBK" w:cs="Times New Roman"/>
        </w:rPr>
      </w:pPr>
      <w:r/>
      <w:bookmarkStart w:id="146" w:name="_Toc513029229"/>
      <w:r/>
      <w:bookmarkStart w:id="147" w:name="_Toc16938545"/>
      <w:r/>
      <w:bookmarkStart w:id="148" w:name="_Toc20823301"/>
      <w:r/>
      <w:bookmarkStart w:id="149" w:name="_Toc120614218"/>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1002"/>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998"/>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98"/>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98"/>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bookmarkStart w:id="153" w:name="_Toc513029231"/>
      <w:r/>
      <w:bookmarkStart w:id="154" w:name="_Toc20823303"/>
      <w:r/>
      <w:bookmarkStart w:id="155"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98"/>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98"/>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98"/>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98"/>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bookmarkStart w:id="156" w:name="_Toc16938548"/>
      <w:r/>
      <w:bookmarkStart w:id="157" w:name="_Toc513029232"/>
      <w:r/>
      <w:bookmarkStart w:id="158" w:name="_Toc20823304"/>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9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1002"/>
        <w:ind w:firstLine="420"/>
        <w:spacing w:before="0" w:after="0" w:line="240" w:lineRule="auto"/>
        <w:rPr>
          <w:rFonts w:ascii="Times New Roman" w:hAnsi="Times New Roman" w:eastAsia="方正仿宋_GBK" w:cs="Times New Roman"/>
          <w:b w:val="0"/>
          <w:bCs w:val="0"/>
        </w:rPr>
      </w:pPr>
      <w:r/>
      <w:bookmarkStart w:id="159" w:name="_Toc20823305"/>
      <w:r/>
      <w:bookmarkStart w:id="160" w:name="_Toc513029233"/>
      <w:r/>
      <w:bookmarkStart w:id="161" w:name="_Toc16938549"/>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98"/>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98"/>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98"/>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98"/>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98"/>
        <w:ind w:firstLine="420"/>
        <w:spacing w:line="460" w:lineRule="exact"/>
        <w:rPr>
          <w:rFonts w:ascii="Times New Roman" w:hAnsi="Times New Roman" w:eastAsia="方正仿宋_GBK" w:cs="Times New Roman"/>
          <w:b/>
          <w:bCs/>
          <w:lang w:val="en-US" w:eastAsia="zh-CN"/>
        </w:rPr>
      </w:pPr>
      <w:r/>
      <w:bookmarkStart w:id="162" w:name="_Toc513029234"/>
      <w:r/>
      <w:bookmarkStart w:id="163" w:name="_Toc20823306"/>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1002"/>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98"/>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998"/>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998"/>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998"/>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998"/>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1002"/>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98"/>
        <w:ind w:left="479"/>
        <w:spacing w:line="440" w:lineRule="exact"/>
        <w:rPr>
          <w:rFonts w:ascii="Times New Roman" w:hAnsi="Times New Roman" w:eastAsia="方正仿宋_GBK" w:cs="Times New Roman"/>
          <w:bCs/>
          <w:sz w:val="24"/>
        </w:rPr>
      </w:pPr>
      <w:r/>
      <w:bookmarkStart w:id="165" w:name="_Toc513029235"/>
      <w:r/>
      <w:bookmarkStart w:id="166" w:name="_Toc16938551"/>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98"/>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98"/>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998"/>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98"/>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1001"/>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1002"/>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16938554"/>
      <w:r/>
      <w:bookmarkStart w:id="171"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98"/>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1002"/>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98"/>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1002"/>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98"/>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98"/>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1001"/>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20823308"/>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1002"/>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37"/>
      <w:r/>
      <w:bookmarkStart w:id="178" w:name="_Toc16938553"/>
      <w:r/>
      <w:bookmarkStart w:id="179"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98"/>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98"/>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98"/>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1002"/>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98"/>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1002"/>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16938558"/>
      <w:r/>
      <w:bookmarkStart w:id="181" w:name="_Toc513029242"/>
      <w:r/>
      <w:bookmarkStart w:id="182" w:name="_Toc20823314"/>
      <w:r/>
      <w:bookmarkStart w:id="183" w:name="_Toc479757207"/>
      <w:r/>
      <w:bookmarkStart w:id="184" w:name="_Toc120614221"/>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1014"/>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1014"/>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98"/>
        <w:rPr>
          <w:rFonts w:ascii="Times New Roman" w:hAnsi="Times New Roman" w:eastAsia="方正仿宋_GBK" w:cs="Times New Roman"/>
        </w:rPr>
      </w:pPr>
      <w:r>
        <w:rPr>
          <w:rFonts w:ascii="Times New Roman" w:hAnsi="Times New Roman" w:eastAsia="方正仿宋_GBK" w:cs="Times New Roman"/>
        </w:rPr>
      </w:r>
      <w:r/>
    </w:p>
    <w:p>
      <w:pPr>
        <w:pStyle w:val="998"/>
        <w:rPr>
          <w:rFonts w:ascii="Times New Roman" w:hAnsi="Times New Roman" w:eastAsia="方正仿宋_GBK" w:cs="Times New Roman"/>
        </w:rPr>
      </w:pPr>
      <w:r>
        <w:rPr>
          <w:rFonts w:ascii="Times New Roman" w:hAnsi="Times New Roman" w:eastAsia="方正仿宋_GBK" w:cs="Times New Roman"/>
        </w:rPr>
      </w:r>
      <w:r/>
    </w:p>
    <w:p>
      <w:pPr>
        <w:pStyle w:val="998"/>
        <w:rPr>
          <w:rFonts w:hint="eastAsia"/>
        </w:rPr>
      </w:pPr>
      <w:r>
        <w:rPr>
          <w:rFonts w:hint="eastAsia"/>
        </w:rPr>
      </w:r>
      <w:r/>
    </w:p>
    <w:p>
      <w:pPr>
        <w:pStyle w:val="998"/>
        <w:rPr>
          <w:rFonts w:hint="eastAsia"/>
        </w:rPr>
      </w:pPr>
      <w:r>
        <w:rPr>
          <w:rFonts w:hint="eastAsia"/>
        </w:rPr>
      </w:r>
      <w:r/>
    </w:p>
    <w:p>
      <w:pPr>
        <w:pStyle w:val="998"/>
        <w:rPr>
          <w:rFonts w:hint="eastAsia"/>
        </w:rPr>
      </w:pPr>
      <w:r>
        <w:rPr>
          <w:rFonts w:hint="eastAsia"/>
        </w:rPr>
      </w:r>
      <w:r/>
    </w:p>
    <w:p>
      <w:pPr>
        <w:pStyle w:val="998"/>
      </w:pPr>
      <w:r/>
      <w:r/>
    </w:p>
    <w:p>
      <w:pPr>
        <w:pStyle w:val="998"/>
      </w:pPr>
      <w:r/>
      <w:r/>
    </w:p>
    <w:p>
      <w:pPr>
        <w:pStyle w:val="998"/>
      </w:pPr>
      <w:r/>
      <w:r/>
    </w:p>
    <w:p>
      <w:pPr>
        <w:pStyle w:val="998"/>
      </w:pPr>
      <w:r/>
      <w:r/>
    </w:p>
    <w:p>
      <w:pPr>
        <w:pStyle w:val="998"/>
      </w:pPr>
      <w:r/>
      <w:r/>
    </w:p>
    <w:p>
      <w:pPr>
        <w:pStyle w:val="998"/>
        <w:rPr>
          <w:rFonts w:hint="eastAsia"/>
        </w:rPr>
      </w:pPr>
      <w:r>
        <w:rPr>
          <w:rFonts w:hint="eastAsia"/>
        </w:rPr>
      </w:r>
      <w:r/>
    </w:p>
    <w:p>
      <w:pPr>
        <w:pStyle w:val="998"/>
        <w:rPr>
          <w:rFonts w:hint="eastAsia"/>
        </w:rPr>
      </w:pPr>
      <w:r>
        <w:rPr>
          <w:rFonts w:hint="eastAsia"/>
        </w:rPr>
      </w:r>
      <w:r/>
    </w:p>
    <w:p>
      <w:pPr>
        <w:pStyle w:val="999"/>
        <w:rPr>
          <w:rFonts w:ascii="黑体" w:eastAsia="黑体"/>
          <w:bCs/>
          <w:sz w:val="44"/>
        </w:rPr>
      </w:pPr>
      <w:r>
        <w:rPr>
          <w:rFonts w:ascii="黑体" w:eastAsia="黑体"/>
          <w:bCs/>
          <w:sz w:val="44"/>
        </w:rPr>
      </w:r>
      <w:r/>
    </w:p>
    <w:p>
      <w:pPr>
        <w:pStyle w:val="998"/>
        <w:rPr>
          <w:rFonts w:ascii="黑体" w:eastAsia="黑体"/>
          <w:bCs/>
          <w:sz w:val="44"/>
        </w:rPr>
      </w:pPr>
      <w:r>
        <w:rPr>
          <w:rFonts w:ascii="黑体" w:eastAsia="黑体"/>
          <w:bCs/>
          <w:sz w:val="44"/>
        </w:rPr>
      </w:r>
      <w:r/>
    </w:p>
    <w:p>
      <w:pPr>
        <w:pStyle w:val="1066"/>
      </w:pPr>
      <w:r/>
      <w:r/>
    </w:p>
    <w:p>
      <w:pPr>
        <w:pStyle w:val="1066"/>
      </w:pPr>
      <w:r/>
      <w:r/>
    </w:p>
    <w:p>
      <w:pPr>
        <w:pStyle w:val="1066"/>
      </w:pPr>
      <w:r/>
      <w:r/>
    </w:p>
    <w:p>
      <w:pPr>
        <w:pStyle w:val="1066"/>
      </w:pPr>
      <w:r/>
      <w:r/>
    </w:p>
    <w:p>
      <w:pPr>
        <w:pStyle w:val="1066"/>
      </w:pPr>
      <w:r/>
      <w:r/>
    </w:p>
    <w:p>
      <w:pPr>
        <w:pStyle w:val="1066"/>
      </w:pPr>
      <w:r/>
      <w:r/>
    </w:p>
    <w:p>
      <w:pPr>
        <w:pStyle w:val="1066"/>
      </w:pPr>
      <w:r/>
      <w:r/>
    </w:p>
    <w:p>
      <w:pPr>
        <w:pStyle w:val="1066"/>
      </w:pPr>
      <w:r/>
      <w:r/>
    </w:p>
    <w:p>
      <w:pPr>
        <w:pStyle w:val="1066"/>
      </w:pPr>
      <w:r/>
      <w:r/>
    </w:p>
    <w:p>
      <w:pPr>
        <w:pStyle w:val="99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98"/>
        <w:ind w:firstLine="480"/>
        <w:spacing w:line="500" w:lineRule="exact"/>
        <w:rPr>
          <w:rFonts w:ascii="Times New Roman" w:hAnsi="Times New Roman" w:eastAsia="方正仿宋_GBK" w:cs="Times New Roman"/>
          <w:bCs/>
          <w:sz w:val="24"/>
        </w:rPr>
      </w:pPr>
      <w:r/>
      <w:bookmarkStart w:id="185" w:name="_Toc20823315"/>
      <w:r/>
      <w:bookmarkStart w:id="186" w:name="_Toc16938559"/>
      <w:r/>
      <w:bookmarkStart w:id="187" w:name="_Toc513029243"/>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98"/>
        <w:jc w:val="center"/>
        <w:spacing w:line="300" w:lineRule="auto"/>
        <w:rPr>
          <w:rFonts w:eastAsia="等线"/>
          <w:b/>
          <w:color w:val="000000"/>
          <w:sz w:val="72"/>
          <w:szCs w:val="72"/>
        </w:rPr>
      </w:pPr>
      <w:r/>
      <w:bookmarkEnd w:id="185"/>
      <w:r/>
      <w:bookmarkEnd w:id="186"/>
      <w:r/>
      <w:bookmarkEnd w:id="187"/>
      <w:r/>
      <w:bookmarkStart w:id="188" w:name="_Hlt16619350"/>
      <w:r/>
      <w:bookmarkStart w:id="189" w:name="_Toc120614244"/>
      <w:r/>
      <w:bookmarkStart w:id="190" w:name="_Toc16938590"/>
      <w:r/>
      <w:bookmarkStart w:id="191" w:name="_Toc20823346"/>
      <w:r/>
      <w:bookmarkStart w:id="192" w:name="_Toc479757211"/>
      <w:r/>
      <w:bookmarkStart w:id="193" w:name="_Toc462564139"/>
      <w:r>
        <w:rPr>
          <w:rFonts w:eastAsia="等线"/>
          <w:b/>
          <w:color w:val="000000"/>
          <w:sz w:val="72"/>
          <w:szCs w:val="72"/>
        </w:rPr>
      </w:r>
      <w:r/>
    </w:p>
    <w:p>
      <w:pPr>
        <w:pStyle w:val="998"/>
        <w:jc w:val="center"/>
        <w:spacing w:line="300" w:lineRule="auto"/>
        <w:rPr>
          <w:rFonts w:eastAsia="等线"/>
          <w:b/>
          <w:color w:val="000000"/>
          <w:sz w:val="48"/>
          <w:szCs w:val="48"/>
        </w:rPr>
      </w:pPr>
      <w:r>
        <w:rPr>
          <w:rFonts w:eastAsia="等线"/>
          <w:b/>
          <w:color w:val="000000"/>
          <w:sz w:val="48"/>
          <w:szCs w:val="48"/>
        </w:rPr>
        <w:t xml:space="preserve">南通市卫生健康委员会</w:t>
      </w:r>
      <w:r>
        <w:rPr>
          <w:rFonts w:eastAsia="等线"/>
          <w:b/>
          <w:color w:val="000000"/>
          <w:sz w:val="48"/>
          <w:szCs w:val="48"/>
        </w:rPr>
      </w:r>
      <w:r/>
    </w:p>
    <w:p>
      <w:pPr>
        <w:pStyle w:val="998"/>
        <w:jc w:val="center"/>
        <w:spacing w:line="300" w:lineRule="auto"/>
        <w:rPr>
          <w:rFonts w:eastAsia="等线"/>
          <w:b/>
          <w:color w:val="000000"/>
          <w:sz w:val="48"/>
          <w:szCs w:val="48"/>
        </w:rPr>
      </w:pPr>
      <w:r>
        <w:rPr>
          <w:rFonts w:eastAsia="等线"/>
          <w:b/>
          <w:color w:val="000000"/>
          <w:sz w:val="48"/>
          <w:szCs w:val="48"/>
        </w:rPr>
        <w:t xml:space="preserve">2025年系统改造项目</w:t>
      </w:r>
      <w:r>
        <w:rPr>
          <w:rFonts w:eastAsia="等线"/>
          <w:b/>
          <w:color w:val="000000"/>
          <w:sz w:val="48"/>
          <w:szCs w:val="48"/>
        </w:rPr>
      </w:r>
      <w:r/>
    </w:p>
    <w:p>
      <w:pPr>
        <w:pStyle w:val="998"/>
        <w:jc w:val="center"/>
        <w:spacing w:line="300" w:lineRule="auto"/>
        <w:rPr>
          <w:rFonts w:eastAsia="等线"/>
          <w:b/>
          <w:color w:val="000000"/>
          <w:sz w:val="48"/>
          <w:szCs w:val="48"/>
        </w:rPr>
      </w:pPr>
      <w:r>
        <w:rPr>
          <w:rFonts w:eastAsia="等线"/>
          <w:b/>
          <w:color w:val="000000"/>
          <w:sz w:val="48"/>
          <w:szCs w:val="48"/>
        </w:rPr>
        <w:t xml:space="preserve">  </w:t>
      </w:r>
      <w:r>
        <w:rPr>
          <w:rFonts w:eastAsia="等线"/>
          <w:b/>
          <w:color w:val="000000"/>
          <w:sz w:val="48"/>
          <w:szCs w:val="48"/>
        </w:rPr>
      </w:r>
      <w:r/>
    </w:p>
    <w:p>
      <w:pPr>
        <w:pStyle w:val="998"/>
        <w:jc w:val="center"/>
        <w:spacing w:line="300" w:lineRule="auto"/>
        <w:rPr>
          <w:rFonts w:eastAsia="等线"/>
          <w:b/>
          <w:color w:val="000000"/>
          <w:sz w:val="48"/>
          <w:szCs w:val="48"/>
        </w:rPr>
      </w:pPr>
      <w:r>
        <w:rPr>
          <w:rFonts w:eastAsia="等线"/>
          <w:b/>
          <w:color w:val="000000"/>
          <w:sz w:val="48"/>
          <w:szCs w:val="48"/>
        </w:rPr>
        <w:t xml:space="preserve">合 同 书</w:t>
      </w:r>
      <w:r>
        <w:rPr>
          <w:rFonts w:eastAsia="等线"/>
          <w:b/>
          <w:color w:val="000000"/>
          <w:sz w:val="48"/>
          <w:szCs w:val="48"/>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1038"/>
        <w:jc w:val="center"/>
        <w:spacing w:before="120" w:after="120" w:line="0" w:lineRule="atLeast"/>
        <w:rPr>
          <w:rFonts w:hint="eastAsia" w:ascii="黑体" w:eastAsia="黑体"/>
          <w:bCs/>
          <w:sz w:val="44"/>
        </w:rPr>
      </w:pPr>
      <w:r>
        <w:rPr>
          <w:rFonts w:hint="eastAsia" w:ascii="黑体" w:eastAsia="黑体"/>
          <w:bCs/>
          <w:sz w:val="44"/>
        </w:rPr>
      </w:r>
      <w:r/>
    </w:p>
    <w:p>
      <w:pPr>
        <w:pStyle w:val="998"/>
        <w:spacing w:line="300" w:lineRule="auto"/>
        <w:rPr>
          <w:rFonts w:eastAsia="等线"/>
          <w:b/>
          <w:color w:val="000000"/>
          <w:sz w:val="28"/>
          <w:szCs w:val="28"/>
        </w:rPr>
      </w:pPr>
      <w:r>
        <w:rPr>
          <w:rFonts w:eastAsia="等线"/>
          <w:b/>
          <w:color w:val="000000"/>
          <w:sz w:val="28"/>
          <w:szCs w:val="28"/>
        </w:rPr>
      </w:r>
      <w:r/>
    </w:p>
    <w:p>
      <w:pPr>
        <w:pStyle w:val="998"/>
        <w:spacing w:line="300" w:lineRule="auto"/>
        <w:rPr>
          <w:rFonts w:eastAsia="等线"/>
          <w:b/>
          <w:color w:val="000000"/>
          <w:sz w:val="28"/>
          <w:szCs w:val="28"/>
        </w:rPr>
      </w:pPr>
      <w:r>
        <w:rPr>
          <w:rFonts w:eastAsia="等线"/>
          <w:b/>
          <w:color w:val="000000"/>
          <w:sz w:val="28"/>
          <w:szCs w:val="28"/>
        </w:rPr>
      </w:r>
      <w:r/>
    </w:p>
    <w:p>
      <w:pPr>
        <w:pStyle w:val="998"/>
        <w:spacing w:line="300" w:lineRule="auto"/>
        <w:rPr>
          <w:rFonts w:eastAsia="等线"/>
          <w:b/>
          <w:bCs/>
          <w:color w:val="000000"/>
          <w:sz w:val="28"/>
          <w:szCs w:val="28"/>
        </w:rPr>
      </w:pPr>
      <w:r>
        <w:rPr>
          <w:rFonts w:eastAsia="等线"/>
          <w:b/>
          <w:color w:val="000000"/>
          <w:sz w:val="28"/>
          <w:szCs w:val="28"/>
        </w:rPr>
        <w:t xml:space="preserve">合同签署地：</w:t>
      </w:r>
      <w:r>
        <w:rPr>
          <w:rFonts w:eastAsia="等线"/>
          <w:bCs/>
          <w:color w:val="000000"/>
          <w:sz w:val="28"/>
          <w:szCs w:val="28"/>
        </w:rPr>
        <w:t xml:space="preserve">南通市                   </w:t>
      </w:r>
      <w:r>
        <w:rPr>
          <w:rFonts w:eastAsia="等线"/>
          <w:b/>
          <w:bCs/>
          <w:color w:val="000000"/>
          <w:sz w:val="28"/>
          <w:szCs w:val="28"/>
        </w:rPr>
        <w:t xml:space="preserve">合同编号：</w:t>
      </w:r>
      <w:r>
        <w:rPr>
          <w:rFonts w:eastAsia="等线"/>
          <w:b/>
          <w:bCs/>
          <w:color w:val="000000"/>
          <w:sz w:val="28"/>
          <w:szCs w:val="28"/>
        </w:rPr>
      </w:r>
      <w:r/>
    </w:p>
    <w:p>
      <w:pPr>
        <w:pStyle w:val="998"/>
        <w:spacing w:line="300" w:lineRule="auto"/>
        <w:rPr>
          <w:rFonts w:eastAsia="等线"/>
          <w:b/>
          <w:color w:val="000000"/>
          <w:sz w:val="28"/>
          <w:szCs w:val="28"/>
        </w:rPr>
      </w:pPr>
      <w:r>
        <w:rPr>
          <w:rFonts w:eastAsia="等线"/>
          <w:b/>
          <w:color w:val="000000"/>
          <w:sz w:val="28"/>
          <w:szCs w:val="28"/>
        </w:rPr>
      </w:r>
      <w:r/>
    </w:p>
    <w:p>
      <w:pPr>
        <w:pStyle w:val="998"/>
        <w:spacing w:line="300" w:lineRule="auto"/>
        <w:rPr>
          <w:rFonts w:eastAsia="等线"/>
          <w:b/>
          <w:color w:val="000000"/>
          <w:sz w:val="28"/>
          <w:szCs w:val="28"/>
        </w:rPr>
      </w:pPr>
      <w:r>
        <w:rPr>
          <w:rFonts w:eastAsia="等线"/>
          <w:b/>
          <w:color w:val="000000"/>
          <w:sz w:val="28"/>
          <w:szCs w:val="28"/>
        </w:rPr>
      </w:r>
      <w:r/>
    </w:p>
    <w:p>
      <w:pPr>
        <w:pStyle w:val="998"/>
        <w:spacing w:line="300" w:lineRule="auto"/>
        <w:rPr>
          <w:rFonts w:eastAsia="等线"/>
          <w:b/>
          <w:color w:val="000000"/>
          <w:sz w:val="28"/>
          <w:szCs w:val="28"/>
        </w:rPr>
      </w:pPr>
      <w:r>
        <w:rPr>
          <w:rFonts w:eastAsia="等线"/>
          <w:b/>
          <w:color w:val="000000"/>
          <w:sz w:val="28"/>
          <w:szCs w:val="28"/>
        </w:rPr>
        <w:t xml:space="preserve">甲方：南通市卫生健康委员会</w:t>
      </w:r>
      <w:r>
        <w:rPr>
          <w:rFonts w:eastAsia="等线"/>
          <w:b/>
          <w:color w:val="000000"/>
          <w:sz w:val="28"/>
          <w:szCs w:val="28"/>
        </w:rPr>
      </w:r>
      <w:r/>
    </w:p>
    <w:p>
      <w:pPr>
        <w:pStyle w:val="998"/>
        <w:spacing w:line="300" w:lineRule="auto"/>
        <w:rPr>
          <w:rFonts w:eastAsia="等线"/>
          <w:b/>
          <w:color w:val="000000"/>
          <w:sz w:val="28"/>
          <w:szCs w:val="28"/>
        </w:rPr>
      </w:pPr>
      <w:r>
        <w:rPr>
          <w:rFonts w:eastAsia="等线"/>
          <w:b/>
          <w:color w:val="000000"/>
          <w:sz w:val="28"/>
          <w:szCs w:val="28"/>
        </w:rPr>
        <w:t xml:space="preserve">乙方：XXXXX</w:t>
      </w:r>
      <w:r>
        <w:rPr>
          <w:rFonts w:eastAsia="等线"/>
          <w:b/>
          <w:color w:val="000000"/>
          <w:sz w:val="28"/>
          <w:szCs w:val="28"/>
        </w:rPr>
      </w:r>
      <w:r/>
    </w:p>
    <w:p>
      <w:pPr>
        <w:pStyle w:val="998"/>
        <w:ind w:firstLine="480"/>
        <w:spacing w:line="300" w:lineRule="auto"/>
        <w:rPr>
          <w:rFonts w:eastAsia="等线"/>
          <w:b/>
          <w:color w:val="000000"/>
          <w:sz w:val="24"/>
          <w:szCs w:val="24"/>
        </w:rPr>
      </w:pPr>
      <w:r>
        <w:rPr>
          <w:rFonts w:eastAsia="等线"/>
          <w:b/>
          <w:color w:val="000000"/>
          <w:sz w:val="24"/>
          <w:szCs w:val="24"/>
        </w:rPr>
        <w:t xml:space="preserve">第一条   合同说明</w:t>
      </w:r>
      <w:r>
        <w:rPr>
          <w:rFonts w:eastAsia="等线"/>
          <w:b/>
          <w:color w:val="000000"/>
          <w:sz w:val="24"/>
          <w:szCs w:val="24"/>
        </w:rPr>
      </w:r>
      <w:r/>
    </w:p>
    <w:p>
      <w:pPr>
        <w:pStyle w:val="1113"/>
        <w:rPr>
          <w:rFonts w:eastAsia="方正仿宋_GBK"/>
          <w:bCs/>
          <w:sz w:val="24"/>
        </w:rPr>
      </w:pPr>
      <w:r>
        <w:rPr>
          <w:rFonts w:eastAsia="方正仿宋_GBK"/>
          <w:bCs/>
          <w:sz w:val="24"/>
        </w:rPr>
        <w:t xml:space="preserve">1、根据中华人民共和国有关法律、法规，为了明确双方的权利和义务，甲、乙双方在平等协商的基础上，就如下条款达成一致意见，特签署本合同。</w:t>
      </w:r>
      <w:r>
        <w:rPr>
          <w:rFonts w:eastAsia="方正仿宋_GBK"/>
          <w:bCs/>
          <w:sz w:val="24"/>
        </w:rPr>
      </w:r>
      <w:r/>
    </w:p>
    <w:p>
      <w:pPr>
        <w:pStyle w:val="998"/>
        <w:ind w:firstLine="480"/>
        <w:spacing w:line="300" w:lineRule="auto"/>
        <w:rPr>
          <w:rFonts w:eastAsia="等线"/>
          <w:b/>
          <w:color w:val="000000"/>
          <w:sz w:val="24"/>
          <w:szCs w:val="24"/>
        </w:rPr>
      </w:pPr>
      <w:r>
        <w:rPr>
          <w:rFonts w:eastAsia="等线"/>
          <w:b/>
          <w:color w:val="000000"/>
          <w:sz w:val="24"/>
          <w:szCs w:val="24"/>
        </w:rPr>
        <w:t xml:space="preserve">第二条   合同标的</w:t>
      </w:r>
      <w:r>
        <w:rPr>
          <w:rFonts w:eastAsia="等线"/>
          <w:b/>
          <w:color w:val="000000"/>
          <w:sz w:val="24"/>
          <w:szCs w:val="24"/>
        </w:rPr>
      </w:r>
      <w:r/>
    </w:p>
    <w:p>
      <w:pPr>
        <w:pStyle w:val="998"/>
        <w:ind w:firstLine="480"/>
        <w:rPr>
          <w:rFonts w:eastAsia="方正仿宋_GBK"/>
          <w:sz w:val="24"/>
          <w:szCs w:val="24"/>
        </w:rPr>
      </w:pPr>
      <w:r>
        <w:rPr>
          <w:rFonts w:eastAsia="方正仿宋_GBK"/>
          <w:bCs/>
          <w:sz w:val="24"/>
        </w:rPr>
        <w:t xml:space="preserve">1、甲方向乙方购置产品（货物）名称及规格：</w:t>
      </w:r>
      <w:r>
        <w:rPr>
          <w:rFonts w:eastAsia="方正仿宋_GBK"/>
          <w:sz w:val="24"/>
          <w:szCs w:val="24"/>
        </w:rPr>
        <w:t xml:space="preserve">南通市卫生健康委员会2025年系统改造项目</w:t>
      </w:r>
      <w:r>
        <w:rPr>
          <w:rFonts w:eastAsia="方正仿宋_GBK"/>
          <w:sz w:val="24"/>
          <w:szCs w:val="24"/>
        </w:rPr>
      </w:r>
      <w:r/>
    </w:p>
    <w:p>
      <w:pPr>
        <w:pStyle w:val="1113"/>
        <w:rPr>
          <w:rFonts w:eastAsia="方正仿宋_GBK"/>
          <w:bCs/>
          <w:sz w:val="24"/>
        </w:rPr>
      </w:pPr>
      <w:r>
        <w:rPr>
          <w:rFonts w:eastAsia="方正仿宋_GBK"/>
          <w:bCs/>
          <w:sz w:val="24"/>
        </w:rPr>
        <w:t xml:space="preserve">产品描述详见附件。除本合同另有所指外，“产品”、“货物”为同义词，均指本合同项下的合同标的或者政府采购招标文件（项目编号：XXXXX，以下简称招标文件）项下的采购标的。</w:t>
      </w:r>
      <w:r>
        <w:rPr>
          <w:rFonts w:eastAsia="方正仿宋_GBK"/>
          <w:bCs/>
          <w:sz w:val="24"/>
        </w:rPr>
      </w:r>
      <w:r/>
    </w:p>
    <w:p>
      <w:pPr>
        <w:pStyle w:val="1113"/>
        <w:rPr>
          <w:rFonts w:eastAsia="方正仿宋_GBK"/>
          <w:bCs/>
          <w:sz w:val="24"/>
        </w:rPr>
      </w:pPr>
      <w:r>
        <w:rPr>
          <w:rFonts w:eastAsia="方正仿宋_GBK"/>
          <w:bCs/>
          <w:sz w:val="24"/>
        </w:rPr>
        <w:t xml:space="preserve">产品除了包括本合同及招标文件中所列的软件和硬件之外，也包括与本合同履行有关的各项服务。除了合同文件、招标文件及各类标准规范所明确的服务之外，与本合同有关服务事项还包括合同文件中虽无明确规定但乙方作为有经验的供应商应当提供的与本合同履行有关的其他服务。</w:t>
      </w:r>
      <w:r>
        <w:rPr>
          <w:rFonts w:eastAsia="方正仿宋_GBK"/>
          <w:bCs/>
          <w:sz w:val="24"/>
        </w:rPr>
      </w:r>
      <w:r/>
    </w:p>
    <w:p>
      <w:pPr>
        <w:pStyle w:val="1113"/>
        <w:rPr>
          <w:rFonts w:eastAsia="方正仿宋_GBK"/>
          <w:bCs/>
          <w:sz w:val="24"/>
        </w:rPr>
      </w:pPr>
      <w:r>
        <w:rPr>
          <w:rFonts w:eastAsia="方正仿宋_GBK"/>
          <w:bCs/>
          <w:sz w:val="24"/>
        </w:rPr>
        <w:t xml:space="preserve">2、如因甲方在招标文件范围之外的业务需要，甲乙双方变更产品、规格、价格、升级和维保服务的，应于变更发生日起_5_个工作日内书面征求对方同意。双方友好协商，订立附件变更。</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交货期限</w:t>
      </w:r>
      <w:r>
        <w:rPr>
          <w:rFonts w:eastAsia="等线"/>
          <w:b/>
          <w:bCs/>
          <w:color w:val="000000"/>
          <w:sz w:val="24"/>
          <w:szCs w:val="24"/>
        </w:rPr>
      </w:r>
      <w:r/>
    </w:p>
    <w:p>
      <w:pPr>
        <w:pStyle w:val="1113"/>
        <w:rPr>
          <w:rFonts w:eastAsia="方正仿宋_GBK"/>
          <w:bCs/>
          <w:sz w:val="24"/>
        </w:rPr>
      </w:pPr>
      <w:r>
        <w:rPr>
          <w:rFonts w:eastAsia="方正仿宋_GBK"/>
          <w:bCs/>
          <w:sz w:val="24"/>
        </w:rPr>
        <w:t xml:space="preserve">软件系统开发工期为12个月，乙方应在本合同生效后12个月内完成本合同及招标文件要求的全部开发内容并交付甲方且符合验收标准、一次性通过验收。</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金额及付款</w:t>
      </w:r>
      <w:r>
        <w:rPr>
          <w:rFonts w:eastAsia="等线"/>
          <w:b/>
          <w:bCs/>
          <w:color w:val="000000"/>
          <w:sz w:val="24"/>
          <w:szCs w:val="24"/>
        </w:rPr>
      </w:r>
      <w:r/>
    </w:p>
    <w:p>
      <w:pPr>
        <w:pStyle w:val="1113"/>
        <w:rPr>
          <w:rFonts w:eastAsia="方正仿宋_GBK"/>
          <w:bCs/>
          <w:sz w:val="24"/>
        </w:rPr>
      </w:pPr>
      <w:r>
        <w:rPr>
          <w:rFonts w:eastAsia="方正仿宋_GBK"/>
          <w:bCs/>
          <w:sz w:val="24"/>
        </w:rPr>
        <w:t xml:space="preserve">1、本合同项下的货物价款为人民币（大写）：XXX元（小写：XXX元）。除非合同另有约定，前述货款包含了乙方为履行本合同项下及与本合同有关的全部义务而收取的全部费用，包括但不限于增值税、所得税等各种税项以及软件许可使用费、运输费、装卸费、安装费、材料费、包装费、培训费、资料费、维护费、保险费等各项费用。</w:t>
      </w:r>
      <w:r>
        <w:rPr>
          <w:rFonts w:eastAsia="方正仿宋_GBK"/>
          <w:bCs/>
          <w:sz w:val="24"/>
        </w:rPr>
      </w:r>
      <w:r/>
    </w:p>
    <w:p>
      <w:pPr>
        <w:pStyle w:val="1113"/>
        <w:rPr>
          <w:rFonts w:eastAsia="方正仿宋_GBK"/>
          <w:bCs/>
          <w:sz w:val="24"/>
        </w:rPr>
      </w:pPr>
      <w:r>
        <w:rPr>
          <w:rFonts w:eastAsia="方正仿宋_GBK"/>
          <w:bCs/>
          <w:sz w:val="24"/>
        </w:rPr>
        <w:t xml:space="preserve">如合同履行期间，增值税税率调降的，则本合同项下不含税价不变，尚未开票的合同价款的相应税费据实调整，甲方按照调整后的税费加上不含税价所计算的合同价款金额向乙方相应支付。</w:t>
      </w:r>
      <w:r>
        <w:rPr>
          <w:rFonts w:eastAsia="方正仿宋_GBK"/>
          <w:bCs/>
          <w:sz w:val="24"/>
        </w:rPr>
      </w:r>
      <w:r/>
    </w:p>
    <w:p>
      <w:pPr>
        <w:pStyle w:val="1113"/>
        <w:rPr>
          <w:rFonts w:eastAsia="方正仿宋_GBK"/>
          <w:bCs/>
          <w:sz w:val="24"/>
        </w:rPr>
      </w:pPr>
      <w:r>
        <w:rPr>
          <w:rFonts w:eastAsia="方正仿宋_GBK"/>
          <w:bCs/>
          <w:sz w:val="24"/>
        </w:rPr>
        <w:t xml:space="preserve">2、双方同意甲方按以下方式付款：</w:t>
      </w:r>
      <w:r>
        <w:rPr>
          <w:rFonts w:eastAsia="方正仿宋_GBK"/>
          <w:bCs/>
          <w:sz w:val="24"/>
        </w:rPr>
      </w:r>
      <w:r/>
    </w:p>
    <w:p>
      <w:pPr>
        <w:pStyle w:val="1113"/>
        <w:rPr>
          <w:rFonts w:eastAsia="方正仿宋_GBK"/>
          <w:bCs/>
          <w:sz w:val="24"/>
        </w:rPr>
      </w:pPr>
      <w:r>
        <w:rPr>
          <w:rFonts w:eastAsia="方正仿宋_GBK"/>
          <w:bCs/>
          <w:sz w:val="24"/>
        </w:rPr>
        <w:t xml:space="preserve">按约定的时间和条件付款：</w:t>
      </w:r>
      <w:r>
        <w:rPr>
          <w:rFonts w:eastAsia="方正仿宋_GBK"/>
          <w:bCs/>
          <w:sz w:val="24"/>
        </w:rPr>
      </w:r>
      <w:r/>
    </w:p>
    <w:p>
      <w:pPr>
        <w:pStyle w:val="1113"/>
        <w:rPr>
          <w:rFonts w:eastAsia="方正仿宋_GBK"/>
          <w:bCs/>
          <w:sz w:val="24"/>
        </w:rPr>
      </w:pPr>
      <w:r>
        <w:rPr>
          <w:rFonts w:eastAsia="方正仿宋_GBK"/>
          <w:bCs/>
          <w:sz w:val="24"/>
        </w:rPr>
        <w:t xml:space="preserve"> 合同签订后付款合同价的30%，即人民币（大写）：XXX元整（小写：XXX元整）；验收完成交付使用后付款合同价的40%即人民币（大写）：XXX（小写：XXX万元）；验收合格后提供2年免费维护，前述维护满（自验收合格之日起计算）后，经甲方对乙方的维护和技术服务等工作进行全面评审，若评审认定系统正常运行、售后服务到位且不存在其它违约行为，则支付合同总金额的</w:t>
      </w:r>
      <w:r>
        <w:rPr>
          <w:rFonts w:hint="eastAsia" w:eastAsia="方正仿宋_GBK"/>
          <w:bCs/>
          <w:sz w:val="24"/>
        </w:rPr>
        <w:t xml:space="preserve">3</w:t>
      </w:r>
      <w:r>
        <w:rPr>
          <w:rFonts w:eastAsia="方正仿宋_GBK"/>
          <w:bCs/>
          <w:sz w:val="24"/>
        </w:rPr>
        <w:t xml:space="preserve">0％即人民币（大写）：XXX元整（小写：XXX元整）。</w:t>
      </w:r>
      <w:r>
        <w:rPr>
          <w:rFonts w:eastAsia="方正仿宋_GBK"/>
          <w:bCs/>
          <w:sz w:val="24"/>
        </w:rPr>
      </w:r>
      <w:r/>
    </w:p>
    <w:p>
      <w:pPr>
        <w:pStyle w:val="1113"/>
        <w:rPr>
          <w:rFonts w:eastAsia="方正仿宋_GBK"/>
          <w:bCs/>
          <w:sz w:val="24"/>
        </w:rPr>
      </w:pPr>
      <w:r>
        <w:rPr>
          <w:rFonts w:eastAsia="方正仿宋_GBK"/>
          <w:bCs/>
          <w:sz w:val="24"/>
        </w:rPr>
        <w:t xml:space="preserve">款项由甲方按相关财务支付规定办理支付手续</w:t>
      </w:r>
      <w:r>
        <w:rPr>
          <w:rFonts w:hint="eastAsia" w:eastAsia="方正仿宋_GBK"/>
          <w:bCs/>
          <w:sz w:val="24"/>
        </w:rPr>
        <w:t xml:space="preserve">，支付计划以市政府年度财政计划调整，</w:t>
      </w:r>
      <w:r>
        <w:rPr>
          <w:rFonts w:eastAsia="方正仿宋_GBK"/>
          <w:bCs/>
          <w:sz w:val="24"/>
        </w:rPr>
        <w:t xml:space="preserve">不得故意拖延支付时间。</w:t>
      </w:r>
      <w:r>
        <w:rPr>
          <w:rFonts w:eastAsia="方正仿宋_GBK"/>
          <w:bCs/>
          <w:sz w:val="24"/>
        </w:rPr>
      </w:r>
      <w:r/>
    </w:p>
    <w:p>
      <w:pPr>
        <w:pStyle w:val="1113"/>
        <w:rPr>
          <w:rFonts w:ascii="Times New Roman" w:hAnsi="Times New Roman" w:eastAsia="方正仿宋_GBK" w:cs="Times New Roman"/>
          <w:bCs/>
          <w:sz w:val="24"/>
        </w:rPr>
      </w:pPr>
      <w:r>
        <w:rPr>
          <w:rFonts w:ascii="Times New Roman" w:hAnsi="Times New Roman" w:eastAsia="方正仿宋_GBK" w:cs="Times New Roman"/>
          <w:bCs/>
          <w:sz w:val="24"/>
        </w:rPr>
        <w:t xml:space="preserve">3、甲方每次付款前，乙方应向甲方开具等额的增值税专用发票，如乙方延迟或者拒绝提供发票，甲方有权暂缓付款。甲方收到乙方完整的付款资料后再按照内部财务审批流程予以付款。</w:t>
      </w:r>
      <w:r>
        <w:rPr>
          <w:rFonts w:ascii="Times New Roman" w:hAnsi="Times New Roman" w:eastAsia="方正仿宋_GBK" w:cs="Times New Roman"/>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甲方权利义务</w:t>
      </w:r>
      <w:r>
        <w:rPr>
          <w:rFonts w:eastAsia="等线"/>
          <w:b/>
          <w:bCs/>
          <w:color w:val="000000"/>
          <w:sz w:val="24"/>
          <w:szCs w:val="24"/>
        </w:rPr>
      </w:r>
      <w:r/>
    </w:p>
    <w:p>
      <w:pPr>
        <w:pStyle w:val="1113"/>
        <w:rPr>
          <w:rFonts w:eastAsia="方正仿宋_GBK"/>
          <w:bCs/>
          <w:sz w:val="24"/>
        </w:rPr>
      </w:pPr>
      <w:r>
        <w:rPr>
          <w:rFonts w:eastAsia="方正仿宋_GBK"/>
          <w:bCs/>
          <w:sz w:val="24"/>
        </w:rPr>
        <w:t xml:space="preserve">1、甲方指派一名代表作为项目协调人，与乙方进行及时联络并监督、协调乙方所需甲方配合的事项。</w:t>
      </w:r>
      <w:r>
        <w:rPr>
          <w:rFonts w:eastAsia="方正仿宋_GBK"/>
          <w:bCs/>
          <w:sz w:val="24"/>
        </w:rPr>
      </w:r>
      <w:r/>
    </w:p>
    <w:p>
      <w:pPr>
        <w:pStyle w:val="1113"/>
        <w:rPr>
          <w:rFonts w:eastAsia="方正仿宋_GBK"/>
          <w:bCs/>
          <w:sz w:val="24"/>
        </w:rPr>
      </w:pPr>
      <w:r>
        <w:rPr>
          <w:rFonts w:eastAsia="方正仿宋_GBK"/>
          <w:bCs/>
          <w:sz w:val="24"/>
        </w:rPr>
        <w:t xml:space="preserve">2、甲方负责向乙方提供软件开发及服务所需的资料；对于需由甲方提供的资料，乙方应当提前向甲方提出具体的书面要求。</w:t>
      </w:r>
      <w:r>
        <w:rPr>
          <w:rFonts w:eastAsia="方正仿宋_GBK"/>
          <w:bCs/>
          <w:sz w:val="24"/>
        </w:rPr>
      </w:r>
      <w:r/>
    </w:p>
    <w:p>
      <w:pPr>
        <w:pStyle w:val="1113"/>
        <w:rPr>
          <w:rFonts w:eastAsia="方正仿宋_GBK"/>
          <w:bCs/>
          <w:sz w:val="24"/>
        </w:rPr>
      </w:pPr>
      <w:r>
        <w:rPr>
          <w:rFonts w:eastAsia="方正仿宋_GBK"/>
          <w:bCs/>
          <w:sz w:val="24"/>
        </w:rPr>
        <w:t xml:space="preserve">3、甲方及时配合乙方对产品进行测试和试运行，并及时反馈修改意见给乙方。</w:t>
      </w:r>
      <w:r>
        <w:rPr>
          <w:rFonts w:eastAsia="方正仿宋_GBK"/>
          <w:bCs/>
          <w:sz w:val="24"/>
        </w:rPr>
      </w:r>
      <w:r/>
    </w:p>
    <w:p>
      <w:pPr>
        <w:pStyle w:val="1113"/>
        <w:rPr>
          <w:rFonts w:eastAsia="方正仿宋_GBK"/>
          <w:bCs/>
          <w:sz w:val="24"/>
        </w:rPr>
      </w:pPr>
      <w:r>
        <w:rPr>
          <w:rFonts w:eastAsia="方正仿宋_GBK"/>
          <w:bCs/>
          <w:sz w:val="24"/>
        </w:rPr>
        <w:t xml:space="preserve">4、甲方有权对乙方履行本合同的全过程进行监督，并就不符合要求的地方向乙方提出意见，乙方应在指定时间内整改完毕并书面向甲方反馈。</w:t>
      </w:r>
      <w:r>
        <w:rPr>
          <w:rFonts w:eastAsia="方正仿宋_GBK"/>
          <w:bCs/>
          <w:sz w:val="24"/>
        </w:rPr>
      </w:r>
      <w:r/>
    </w:p>
    <w:p>
      <w:pPr>
        <w:pStyle w:val="1113"/>
        <w:rPr>
          <w:rFonts w:eastAsia="方正仿宋_GBK"/>
          <w:bCs/>
          <w:sz w:val="24"/>
        </w:rPr>
      </w:pPr>
      <w:r>
        <w:rPr>
          <w:rFonts w:eastAsia="方正仿宋_GBK"/>
          <w:bCs/>
          <w:sz w:val="24"/>
        </w:rPr>
        <w:t xml:space="preserve">5、甲方在乙方按时保质地全面履行合同义务的基础上，按时向乙方支付合同价款。</w:t>
      </w:r>
      <w:r>
        <w:rPr>
          <w:rFonts w:eastAsia="方正仿宋_GBK"/>
          <w:bCs/>
          <w:sz w:val="24"/>
        </w:rPr>
      </w:r>
      <w:r/>
    </w:p>
    <w:p>
      <w:pPr>
        <w:pStyle w:val="1113"/>
        <w:rPr>
          <w:rFonts w:eastAsia="方正仿宋_GBK"/>
          <w:bCs/>
          <w:sz w:val="24"/>
        </w:rPr>
      </w:pPr>
      <w:r>
        <w:rPr>
          <w:rFonts w:eastAsia="方正仿宋_GBK"/>
          <w:bCs/>
          <w:sz w:val="24"/>
        </w:rPr>
        <w:t xml:space="preserve">6、甲方有权聘请第三方作为本项目的全过程审计单位，甲方聘请的全过程审计单位有权利根据国家相关标准、规范和规定，对本项目的全过程进行跟踪审计。乙方应无条件接受和配合全过程审计单位根据国家相关标准、规范、规定和全过程审计合同进行的跟踪审计活动，按照全过程审计单位的要求提供相应的资料与文档，接受全过程审计监督，配合全过程审计单位履行审计责任，按时保质地完成工作。</w:t>
      </w:r>
      <w:r>
        <w:rPr>
          <w:rFonts w:eastAsia="方正仿宋_GBK"/>
          <w:bCs/>
          <w:sz w:val="24"/>
        </w:rPr>
      </w:r>
      <w:r/>
    </w:p>
    <w:p>
      <w:pPr>
        <w:pStyle w:val="1113"/>
        <w:rPr>
          <w:rFonts w:eastAsia="方正仿宋_GBK"/>
          <w:bCs/>
          <w:sz w:val="24"/>
        </w:rPr>
      </w:pPr>
      <w:r>
        <w:rPr>
          <w:rFonts w:eastAsia="方正仿宋_GBK"/>
          <w:bCs/>
          <w:sz w:val="24"/>
        </w:rPr>
        <w:t xml:space="preserve">7、甲方有权聘请第三方作为本项目实施的监理单位，乙方应无条件接受和配合监理单位根据国家相关标准、规范、规定等本项目实施所进行的跟踪监理活动；按照监理单位的要求提供相应的资料与文档等，接受监理单位的监督，对于监理单位提出的问题和整改意见等及时落实整改；如对监理单位提出的意见有异议的，需在24小时内向甲方及监理单位分别提出书面意见并附相关依据；如未及时提出书面异议的，视为已确认监理单位提出的问题和整改意见等。</w:t>
      </w:r>
      <w:r>
        <w:rPr>
          <w:rFonts w:eastAsia="方正仿宋_GBK"/>
          <w:bCs/>
          <w:sz w:val="24"/>
        </w:rPr>
      </w:r>
      <w:r/>
    </w:p>
    <w:p>
      <w:pPr>
        <w:pStyle w:val="1113"/>
        <w:rPr>
          <w:rFonts w:eastAsia="方正仿宋_GBK"/>
          <w:bCs/>
          <w:sz w:val="24"/>
        </w:rPr>
      </w:pPr>
      <w:r>
        <w:rPr>
          <w:rFonts w:eastAsia="方正仿宋_GBK"/>
          <w:bCs/>
          <w:sz w:val="24"/>
        </w:rPr>
        <w:t xml:space="preserve">8、甲方其他权利以招标文件中的相关内容为准。</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乙方权利义务</w:t>
      </w:r>
      <w:r>
        <w:rPr>
          <w:rFonts w:eastAsia="等线"/>
          <w:b/>
          <w:bCs/>
          <w:color w:val="000000"/>
          <w:sz w:val="24"/>
          <w:szCs w:val="24"/>
        </w:rPr>
      </w:r>
      <w:r/>
    </w:p>
    <w:p>
      <w:pPr>
        <w:pStyle w:val="1113"/>
        <w:rPr>
          <w:rFonts w:eastAsia="方正仿宋_GBK"/>
          <w:bCs/>
          <w:sz w:val="24"/>
        </w:rPr>
      </w:pPr>
      <w:r>
        <w:rPr>
          <w:rFonts w:eastAsia="方正仿宋_GBK"/>
          <w:bCs/>
          <w:sz w:val="24"/>
        </w:rPr>
        <w:t xml:space="preserve">1、乙方应向甲方提供承建方案或总体设计方案，包括项目管理、需求确认、工作进度表、系统设计、系统开发、系统测试、系统部署、试运行、运行维护、培训等策略，并根据甲方的要求对方案进行深化设计，以达到甲方总体技术要求。</w:t>
      </w:r>
      <w:r>
        <w:rPr>
          <w:rFonts w:eastAsia="方正仿宋_GBK"/>
          <w:bCs/>
          <w:sz w:val="24"/>
        </w:rPr>
      </w:r>
      <w:r/>
    </w:p>
    <w:p>
      <w:pPr>
        <w:pStyle w:val="1113"/>
        <w:rPr>
          <w:rFonts w:eastAsia="方正仿宋_GBK"/>
          <w:bCs/>
          <w:sz w:val="24"/>
        </w:rPr>
      </w:pPr>
      <w:r>
        <w:rPr>
          <w:rFonts w:eastAsia="方正仿宋_GBK"/>
          <w:bCs/>
          <w:sz w:val="24"/>
        </w:rPr>
        <w:t xml:space="preserve">2、乙方应依据本合同及招标文件规定范围、规模及内容进行项目建设工作，包括但不限于深化设计、应用系统开发、集成、部署、交付、试运行、开通、培训、技术文件归档等建设阶段工作及系统建成后的运行维护工作以及与本合同履行有关的其他工作。</w:t>
      </w:r>
      <w:r>
        <w:rPr>
          <w:rFonts w:eastAsia="方正仿宋_GBK"/>
          <w:bCs/>
          <w:sz w:val="24"/>
        </w:rPr>
      </w:r>
      <w:r/>
    </w:p>
    <w:p>
      <w:pPr>
        <w:pStyle w:val="1113"/>
        <w:rPr>
          <w:rFonts w:eastAsia="方正仿宋_GBK"/>
          <w:bCs/>
          <w:sz w:val="24"/>
        </w:rPr>
      </w:pPr>
      <w:r>
        <w:rPr>
          <w:rFonts w:eastAsia="方正仿宋_GBK"/>
          <w:bCs/>
          <w:sz w:val="24"/>
        </w:rPr>
        <w:t xml:space="preserve">3、乙方应按照项目总体设计方案，进行深化设计，明确与所有相关系统的接口、技术界面和分工界面，负责本项目内部接口的设计和本系统外部系统接口的协调。</w:t>
      </w:r>
      <w:r>
        <w:rPr>
          <w:rFonts w:eastAsia="方正仿宋_GBK"/>
          <w:bCs/>
          <w:sz w:val="24"/>
        </w:rPr>
      </w:r>
      <w:r/>
    </w:p>
    <w:p>
      <w:pPr>
        <w:pStyle w:val="1113"/>
        <w:rPr>
          <w:rFonts w:eastAsia="方正仿宋_GBK"/>
          <w:bCs/>
          <w:sz w:val="24"/>
        </w:rPr>
      </w:pPr>
      <w:r>
        <w:rPr>
          <w:rFonts w:eastAsia="方正仿宋_GBK"/>
          <w:bCs/>
          <w:sz w:val="24"/>
        </w:rPr>
        <w:t xml:space="preserve">4、乙方须对该项目甲方的管理协调工作给予无条件的配合；若因自身原因影响整体项目实施进度，乙方须承担全部责任。</w:t>
      </w:r>
      <w:r>
        <w:rPr>
          <w:rFonts w:eastAsia="方正仿宋_GBK"/>
          <w:bCs/>
          <w:sz w:val="24"/>
        </w:rPr>
      </w:r>
      <w:r/>
    </w:p>
    <w:p>
      <w:pPr>
        <w:pStyle w:val="1113"/>
        <w:rPr>
          <w:rFonts w:eastAsia="方正仿宋_GBK"/>
          <w:bCs/>
          <w:sz w:val="24"/>
        </w:rPr>
      </w:pPr>
      <w:r>
        <w:rPr>
          <w:rFonts w:eastAsia="方正仿宋_GBK"/>
          <w:bCs/>
          <w:sz w:val="24"/>
        </w:rPr>
        <w:t xml:space="preserve">5、乙方须负责在软件系统开发实施前，复核由其它单位为配合系统工程所提供的各项设施和配备是否适用。</w:t>
      </w:r>
      <w:r>
        <w:rPr>
          <w:rFonts w:eastAsia="方正仿宋_GBK"/>
          <w:bCs/>
          <w:sz w:val="24"/>
        </w:rPr>
      </w:r>
      <w:r/>
    </w:p>
    <w:p>
      <w:pPr>
        <w:pStyle w:val="1113"/>
        <w:rPr>
          <w:rFonts w:ascii="Times New Roman" w:hAnsi="Times New Roman" w:eastAsia="方正仿宋_GBK" w:cs="Times New Roman"/>
          <w:bCs/>
          <w:sz w:val="24"/>
        </w:rPr>
      </w:pPr>
      <w:r>
        <w:rPr>
          <w:rFonts w:ascii="Times New Roman" w:hAnsi="Times New Roman" w:eastAsia="方正仿宋_GBK" w:cs="Times New Roman"/>
          <w:bCs/>
          <w:sz w:val="24"/>
        </w:rPr>
        <w:t xml:space="preserve">6、乙方需配合甲方完成本项目建设所需的与国家、省、市有关部门的协调工作。如乙方所交付的软件需经有关部门登记、备案、审批或许可的，乙方应配合甲方为所提供的软件完成上述手续。</w:t>
      </w:r>
      <w:r>
        <w:rPr>
          <w:rFonts w:ascii="Times New Roman" w:hAnsi="Times New Roman" w:eastAsia="方正仿宋_GBK" w:cs="Times New Roman"/>
          <w:bCs/>
          <w:sz w:val="24"/>
        </w:rPr>
      </w:r>
      <w:r/>
    </w:p>
    <w:p>
      <w:pPr>
        <w:pStyle w:val="1113"/>
        <w:rPr>
          <w:rFonts w:eastAsia="方正仿宋_GBK"/>
          <w:bCs/>
          <w:sz w:val="24"/>
        </w:rPr>
      </w:pPr>
      <w:r>
        <w:rPr>
          <w:rFonts w:eastAsia="方正仿宋_GBK"/>
          <w:bCs/>
          <w:sz w:val="24"/>
        </w:rPr>
        <w:t xml:space="preserve">7、乙方根据甲方要求，在规定的时间内安排相应人员进入甲方指定的工作场所进行系统研发和实施工作，并负责维护、管理工作环境。乙方安排的人员在工作期间，必须服从甲方的工作规定和安全管理制度。如果乙方工作人员不服从甲方管理，造成严重后果，乙方需承担全部责任。乙方进场实施产生的费用由乙方自行负责。</w:t>
      </w:r>
      <w:r>
        <w:rPr>
          <w:rFonts w:eastAsia="方正仿宋_GBK"/>
          <w:bCs/>
          <w:sz w:val="24"/>
        </w:rPr>
      </w:r>
      <w:r/>
    </w:p>
    <w:p>
      <w:pPr>
        <w:pStyle w:val="1113"/>
        <w:rPr>
          <w:rFonts w:eastAsia="方正仿宋_GBK"/>
          <w:bCs/>
          <w:sz w:val="24"/>
        </w:rPr>
      </w:pPr>
      <w:r>
        <w:rPr>
          <w:rFonts w:eastAsia="方正仿宋_GBK"/>
          <w:bCs/>
          <w:sz w:val="24"/>
        </w:rPr>
        <w:t xml:space="preserve">8、乙方应按约定时间，以合理的、甲方可以理解的方式，向甲方及全过程审计单位提供书面的项目阶段进度报告。如有重大的问题或重要的变更发生，乙方需在当日内向甲方及全过程审计单位做出书面报告；乙方也应当在合理的时间内回复甲方与全过程审计单位在其他时间内提出的与本项目相关的询问。</w:t>
      </w:r>
      <w:r>
        <w:rPr>
          <w:rFonts w:eastAsia="方正仿宋_GBK"/>
          <w:bCs/>
          <w:sz w:val="24"/>
        </w:rPr>
      </w:r>
      <w:r/>
    </w:p>
    <w:p>
      <w:pPr>
        <w:pStyle w:val="1113"/>
        <w:rPr>
          <w:rFonts w:eastAsia="方正仿宋_GBK"/>
          <w:bCs/>
          <w:sz w:val="24"/>
        </w:rPr>
      </w:pPr>
      <w:r>
        <w:rPr>
          <w:rFonts w:eastAsia="方正仿宋_GBK"/>
          <w:bCs/>
          <w:sz w:val="24"/>
        </w:rPr>
        <w:t xml:space="preserve">9、乙方应根据合同约定的时间完成本项目相关服务，满足甲方在技术需求和业务需求中的要求，乙方承诺确保按项目进度完成建设工作。乙方负责项目的日常管理工作，并对项目成功实施负全部责任。</w:t>
      </w:r>
      <w:r>
        <w:rPr>
          <w:rFonts w:eastAsia="方正仿宋_GBK"/>
          <w:bCs/>
          <w:sz w:val="24"/>
        </w:rPr>
      </w:r>
      <w:r/>
    </w:p>
    <w:p>
      <w:pPr>
        <w:pStyle w:val="1113"/>
        <w:rPr>
          <w:rFonts w:eastAsia="方正仿宋_GBK"/>
          <w:bCs/>
          <w:sz w:val="24"/>
        </w:rPr>
      </w:pPr>
      <w:r>
        <w:rPr>
          <w:rFonts w:eastAsia="方正仿宋_GBK"/>
          <w:bCs/>
          <w:sz w:val="24"/>
        </w:rPr>
        <w:t xml:space="preserve">10、乙方应根据招标文件的要求和投标文件的承诺向甲方提供相关技术服务和技术培训等。系统建成并通过验收后，乙方负责为期3年的软件系统免费售后服务与技术支持服务，服务范围包括但不限于软件优化及系统升级等。</w:t>
      </w:r>
      <w:r>
        <w:rPr>
          <w:rFonts w:eastAsia="方正仿宋_GBK"/>
          <w:bCs/>
          <w:sz w:val="24"/>
        </w:rPr>
      </w:r>
      <w:r/>
    </w:p>
    <w:p>
      <w:pPr>
        <w:pStyle w:val="1113"/>
        <w:rPr>
          <w:rFonts w:eastAsia="方正仿宋_GBK"/>
          <w:bCs/>
          <w:sz w:val="24"/>
        </w:rPr>
      </w:pPr>
      <w:r>
        <w:rPr>
          <w:rFonts w:eastAsia="方正仿宋_GBK"/>
          <w:bCs/>
          <w:sz w:val="24"/>
        </w:rPr>
        <w:t xml:space="preserve">11、在项目建设过程中，乙方应按照计算机工程规范的国家标准，将软件开发过程形成全面、详尽的技术资料，包括纸质文档和电子文件等形式，并进行阶段性和总体性提交。提交包括但不限于以下内容：需求规格说明书、概要设计说明书、详细设计说明书、测试报告、系统使用手册、系统维护手册、培训资料、验收相关文档等。</w:t>
      </w:r>
      <w:r>
        <w:rPr>
          <w:rFonts w:eastAsia="方正仿宋_GBK"/>
          <w:bCs/>
          <w:sz w:val="24"/>
        </w:rPr>
      </w:r>
      <w:r/>
    </w:p>
    <w:p>
      <w:pPr>
        <w:pStyle w:val="1113"/>
        <w:rPr>
          <w:rFonts w:eastAsia="方正仿宋_GBK"/>
          <w:bCs/>
          <w:sz w:val="24"/>
        </w:rPr>
      </w:pPr>
      <w:r>
        <w:rPr>
          <w:rFonts w:eastAsia="方正仿宋_GBK"/>
          <w:bCs/>
          <w:sz w:val="24"/>
        </w:rPr>
        <w:t xml:space="preserve">12、乙方应配合第三方检测机构完成项目软件测评和信息安全评测工作，应依据评估意见进行针对性整改。</w:t>
      </w:r>
      <w:r>
        <w:rPr>
          <w:rFonts w:eastAsia="方正仿宋_GBK"/>
          <w:bCs/>
          <w:sz w:val="24"/>
        </w:rPr>
      </w:r>
      <w:r/>
    </w:p>
    <w:p>
      <w:pPr>
        <w:pStyle w:val="1113"/>
        <w:rPr>
          <w:rFonts w:eastAsia="方正仿宋_GBK"/>
          <w:bCs/>
          <w:sz w:val="24"/>
        </w:rPr>
      </w:pPr>
      <w:r>
        <w:rPr>
          <w:rFonts w:eastAsia="方正仿宋_GBK"/>
          <w:bCs/>
          <w:sz w:val="24"/>
        </w:rPr>
        <w:t xml:space="preserve">13、乙方需保证由投标文件中确定的项目服务团队提供本合同项下的全部服务，项目团队人员配置科学合理、分工明确。乙方不得将项目进行转包。 </w:t>
      </w:r>
      <w:r>
        <w:rPr>
          <w:rFonts w:eastAsia="方正仿宋_GBK"/>
          <w:bCs/>
          <w:sz w:val="24"/>
        </w:rPr>
      </w:r>
      <w:r/>
    </w:p>
    <w:p>
      <w:pPr>
        <w:pStyle w:val="1113"/>
        <w:rPr>
          <w:rFonts w:eastAsia="方正仿宋_GBK"/>
        </w:rPr>
      </w:pPr>
      <w:r>
        <w:rPr>
          <w:rFonts w:eastAsia="方正仿宋_GBK"/>
          <w:bCs/>
          <w:sz w:val="24"/>
        </w:rPr>
        <w:t xml:space="preserve">14、乙方需履行的其他义务以招标文件及投标文件承诺的内容为准，并符合本合同各条款的约定。如法律法规、标准规范（无论国家标准、地方标准、行业标准、强制性标准或非强制性标准）对于乙方履行在本合同项下或者与本合同有关的各项义务有更严格或者更具体的规定的，则乙方应严格按照法律法规、标准规范之相关规定执行。</w:t>
      </w:r>
      <w:r>
        <w:rPr>
          <w:rFonts w:eastAsia="方正仿宋_GBK"/>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Style w:val="1114"/>
          <w:rFonts w:eastAsia="等线"/>
          <w:b/>
          <w:bCs/>
          <w:color w:val="000000"/>
          <w:sz w:val="24"/>
          <w:szCs w:val="24"/>
        </w:rPr>
        <w:t xml:space="preserve">   质量与保证</w:t>
      </w:r>
      <w:r>
        <w:rPr>
          <w:rFonts w:eastAsia="等线"/>
          <w:b/>
          <w:bCs/>
          <w:color w:val="000000"/>
          <w:sz w:val="24"/>
          <w:szCs w:val="24"/>
        </w:rPr>
      </w:r>
      <w:r/>
    </w:p>
    <w:p>
      <w:pPr>
        <w:pStyle w:val="1113"/>
        <w:rPr>
          <w:rFonts w:eastAsia="方正仿宋_GBK"/>
          <w:bCs/>
          <w:sz w:val="24"/>
        </w:rPr>
      </w:pPr>
      <w:r>
        <w:rPr>
          <w:rFonts w:eastAsia="方正仿宋_GBK"/>
          <w:bCs/>
          <w:sz w:val="24"/>
        </w:rPr>
        <w:t xml:space="preserve">1、乙方保证按照合同约定，提供未曾使用过的全新设备和软件。</w:t>
      </w:r>
      <w:r>
        <w:rPr>
          <w:rFonts w:eastAsia="方正仿宋_GBK"/>
          <w:bCs/>
          <w:sz w:val="24"/>
        </w:rPr>
      </w:r>
      <w:r/>
    </w:p>
    <w:p>
      <w:pPr>
        <w:pStyle w:val="1113"/>
        <w:rPr>
          <w:rFonts w:eastAsia="方正仿宋_GBK"/>
          <w:bCs/>
          <w:sz w:val="24"/>
        </w:rPr>
      </w:pPr>
      <w:r>
        <w:rPr>
          <w:rFonts w:eastAsia="方正仿宋_GBK"/>
          <w:bCs/>
          <w:sz w:val="24"/>
        </w:rPr>
        <w:t xml:space="preserve">2、乙方保证对其提供的货物享有合法的所有权，在货物上不存在任何未曾向甲方透露的担保物权、司法扣押、行政扣押以及其他任何妨碍甲方或甲方的最终用户获得货物所有权的法律障碍或权利瑕疵。</w:t>
      </w:r>
      <w:r>
        <w:rPr>
          <w:rFonts w:eastAsia="方正仿宋_GBK"/>
          <w:bCs/>
          <w:sz w:val="24"/>
        </w:rPr>
      </w:r>
      <w:r/>
    </w:p>
    <w:p>
      <w:pPr>
        <w:pStyle w:val="1113"/>
        <w:rPr>
          <w:rFonts w:eastAsia="方正仿宋_GBK"/>
          <w:bCs/>
          <w:sz w:val="24"/>
        </w:rPr>
      </w:pPr>
      <w:r>
        <w:rPr>
          <w:rFonts w:eastAsia="方正仿宋_GBK"/>
          <w:bCs/>
          <w:sz w:val="24"/>
        </w:rPr>
        <w:t xml:space="preserve">3、乙方保证其提供的货物没有侵犯任何第三人的知识产权或者任何其它权益。</w:t>
      </w:r>
      <w:r>
        <w:rPr>
          <w:rFonts w:eastAsia="方正仿宋_GBK"/>
          <w:bCs/>
          <w:sz w:val="24"/>
        </w:rPr>
      </w:r>
      <w:r/>
    </w:p>
    <w:p>
      <w:pPr>
        <w:pStyle w:val="1113"/>
        <w:rPr>
          <w:rFonts w:eastAsia="方正仿宋_GBK"/>
          <w:bCs/>
          <w:sz w:val="24"/>
        </w:rPr>
      </w:pPr>
      <w:r>
        <w:rPr>
          <w:rFonts w:eastAsia="方正仿宋_GBK"/>
          <w:bCs/>
          <w:sz w:val="24"/>
        </w:rPr>
        <w:t xml:space="preserve">4、因乙方的货物存在前述权利瑕疵导致甲方被第三人追究法律责任的，乙方承诺对此承担甲方的全部经济损失，同时还需按照合同金额的20%向甲方支付违约金。</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售后服务</w:t>
      </w:r>
      <w:r>
        <w:rPr>
          <w:rFonts w:eastAsia="等线"/>
          <w:b/>
          <w:bCs/>
          <w:color w:val="000000"/>
          <w:sz w:val="24"/>
          <w:szCs w:val="24"/>
        </w:rPr>
      </w:r>
      <w:r/>
    </w:p>
    <w:p>
      <w:pPr>
        <w:pStyle w:val="1113"/>
        <w:rPr>
          <w:rFonts w:eastAsia="方正仿宋_GBK"/>
          <w:bCs/>
          <w:sz w:val="24"/>
        </w:rPr>
      </w:pPr>
      <w:r>
        <w:rPr>
          <w:rFonts w:eastAsia="方正仿宋_GBK"/>
          <w:bCs/>
          <w:sz w:val="24"/>
        </w:rPr>
        <w:t xml:space="preserve">1、项目自验收合格之日起，乙方需按照合同附件要求的维保期限提供维护和升级服务。</w:t>
      </w:r>
      <w:r>
        <w:rPr>
          <w:rFonts w:eastAsia="方正仿宋_GBK"/>
          <w:bCs/>
          <w:sz w:val="24"/>
        </w:rPr>
      </w:r>
      <w:r/>
    </w:p>
    <w:p>
      <w:pPr>
        <w:pStyle w:val="1113"/>
        <w:rPr>
          <w:rFonts w:eastAsia="方正仿宋_GBK"/>
          <w:bCs/>
          <w:sz w:val="24"/>
        </w:rPr>
      </w:pPr>
      <w:r>
        <w:rPr>
          <w:rFonts w:eastAsia="方正仿宋_GBK"/>
          <w:bCs/>
          <w:sz w:val="24"/>
        </w:rPr>
        <w:t xml:space="preserve">2、乙方应在南通设有常驻人员以响应甲方的技术服务要求。在维保期内，如甲方要求进行软件升级，乙方应向甲方免费提供系统软件升级和技术支持。</w:t>
      </w:r>
      <w:r>
        <w:rPr>
          <w:rFonts w:eastAsia="方正仿宋_GBK"/>
          <w:bCs/>
          <w:sz w:val="24"/>
        </w:rPr>
      </w:r>
      <w:r/>
    </w:p>
    <w:p>
      <w:pPr>
        <w:pStyle w:val="1113"/>
        <w:rPr>
          <w:rFonts w:eastAsia="方正仿宋_GBK"/>
          <w:bCs/>
          <w:sz w:val="24"/>
        </w:rPr>
      </w:pPr>
      <w:r>
        <w:rPr>
          <w:rFonts w:eastAsia="方正仿宋_GBK"/>
          <w:bCs/>
          <w:sz w:val="24"/>
        </w:rPr>
        <w:t xml:space="preserve">3、维保期内，乙方有责任提供以下形式的技术支持服务：</w:t>
      </w:r>
      <w:r>
        <w:rPr>
          <w:rFonts w:eastAsia="方正仿宋_GBK"/>
          <w:bCs/>
          <w:sz w:val="24"/>
        </w:rPr>
      </w:r>
      <w:r/>
    </w:p>
    <w:p>
      <w:pPr>
        <w:pStyle w:val="1113"/>
        <w:rPr>
          <w:rFonts w:eastAsia="方正仿宋_GBK"/>
          <w:bCs/>
          <w:sz w:val="24"/>
        </w:rPr>
      </w:pPr>
      <w:r>
        <w:rPr>
          <w:rFonts w:eastAsia="方正仿宋_GBK"/>
          <w:bCs/>
          <w:sz w:val="24"/>
        </w:rPr>
        <w:t xml:space="preserve">（1）电话咨询：乙方必须为甲方提供技术援助电话，提供7×24小时响应服务，解答甲方在系统使用中遇到的问题，及时提出解决问题的建议和操作方法。</w:t>
      </w:r>
      <w:r>
        <w:rPr>
          <w:rFonts w:eastAsia="方正仿宋_GBK"/>
          <w:bCs/>
          <w:sz w:val="24"/>
        </w:rPr>
      </w:r>
      <w:r/>
    </w:p>
    <w:p>
      <w:pPr>
        <w:pStyle w:val="1113"/>
        <w:rPr>
          <w:rFonts w:eastAsia="方正仿宋_GBK"/>
          <w:bCs/>
          <w:sz w:val="24"/>
        </w:rPr>
      </w:pPr>
      <w:r>
        <w:rPr>
          <w:rFonts w:eastAsia="方正仿宋_GBK"/>
          <w:bCs/>
          <w:sz w:val="24"/>
        </w:rPr>
        <w:t xml:space="preserve">（2）现场响应：自收到甲方的服务请求起30分钟内，若电话咨询服务形式不能解决问题，乙方应在1小时内指派技术人员赶赴现场进行故障处理；遇到重大技术问题，乙方应及时组织有关技术专家进行会诊，并在4小时内采取相应措施以确保系统的正常运行；如果乙方在接到通知后未及时有效做出响应，乙方必须对除了须对故障所造成的损失负责之外，甲方还可以视情况扣除乙方的质保金。</w:t>
      </w:r>
      <w:r>
        <w:rPr>
          <w:rFonts w:eastAsia="方正仿宋_GBK"/>
          <w:bCs/>
          <w:sz w:val="24"/>
        </w:rPr>
      </w:r>
      <w:r/>
    </w:p>
    <w:p>
      <w:pPr>
        <w:pStyle w:val="1113"/>
        <w:rPr>
          <w:rFonts w:eastAsia="方正仿宋_GBK"/>
          <w:bCs/>
          <w:sz w:val="24"/>
        </w:rPr>
      </w:pPr>
      <w:r>
        <w:rPr>
          <w:rFonts w:eastAsia="方正仿宋_GBK"/>
          <w:bCs/>
          <w:sz w:val="24"/>
        </w:rPr>
        <w:t xml:space="preserve">（3）其他的售后服务要求以招标文件的要求和投标文件的承诺为准。</w:t>
      </w:r>
      <w:r>
        <w:rPr>
          <w:rFonts w:eastAsia="方正仿宋_GBK"/>
          <w:bCs/>
          <w:sz w:val="24"/>
        </w:rPr>
      </w:r>
      <w:r/>
    </w:p>
    <w:p>
      <w:pPr>
        <w:pStyle w:val="1113"/>
        <w:rPr>
          <w:rFonts w:eastAsia="方正仿宋_GBK"/>
          <w:bCs/>
          <w:sz w:val="24"/>
        </w:rPr>
      </w:pPr>
      <w:r>
        <w:rPr>
          <w:rFonts w:eastAsia="方正仿宋_GBK"/>
          <w:bCs/>
          <w:sz w:val="24"/>
        </w:rPr>
        <w:t xml:space="preserve">4、由于乙方原因致使甲方购买的货物未能享受本合同约定的售后服务，乙方视为违约，应赔偿因此给甲方造成的全部经济损失，同时还需按照合同金额的20%向甲方支付违约金。</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w:t>
      </w:r>
      <w:r>
        <w:rPr>
          <w:rFonts w:eastAsia="等线"/>
          <w:b/>
          <w:bCs/>
          <w:color w:val="000000"/>
          <w:sz w:val="24"/>
          <w:szCs w:val="24"/>
          <w:lang w:eastAsia="en-US"/>
        </w:rPr>
        <w:t xml:space="preserve">信息安全、</w:t>
      </w:r>
      <w:r>
        <w:rPr>
          <w:rFonts w:eastAsia="等线"/>
          <w:b/>
          <w:bCs/>
          <w:color w:val="000000"/>
          <w:sz w:val="24"/>
          <w:szCs w:val="24"/>
        </w:rPr>
        <w:t xml:space="preserve">保密和知识产权</w:t>
      </w:r>
      <w:r>
        <w:rPr>
          <w:rFonts w:eastAsia="等线"/>
          <w:b/>
          <w:bCs/>
          <w:color w:val="000000"/>
          <w:sz w:val="24"/>
          <w:szCs w:val="24"/>
        </w:rPr>
      </w:r>
      <w:r/>
    </w:p>
    <w:p>
      <w:pPr>
        <w:pStyle w:val="1113"/>
        <w:rPr>
          <w:rFonts w:eastAsia="方正仿宋_GBK"/>
          <w:bCs/>
          <w:sz w:val="24"/>
        </w:rPr>
      </w:pPr>
      <w:r>
        <w:rPr>
          <w:rFonts w:eastAsia="方正仿宋_GBK"/>
          <w:bCs/>
          <w:sz w:val="24"/>
        </w:rPr>
        <w:t xml:space="preserve">1、乙方必须严格遵守国家及地方关于数据保护、网络安全、信息安全等方面法律法规、各级各部门有关规定和标准规范，保证所接触到的一切数据不泄露，更不得作为商业的目的而擅自使用，保证其提供的产品和服务等均严格满足数据保护、网络安全、信息安全等方面的各项规定，不存在任何安全隐患、缺陷或漏洞。</w:t>
      </w:r>
      <w:r>
        <w:rPr>
          <w:rFonts w:eastAsia="方正仿宋_GBK"/>
          <w:bCs/>
          <w:sz w:val="24"/>
        </w:rPr>
      </w:r>
      <w:r/>
    </w:p>
    <w:p>
      <w:pPr>
        <w:pStyle w:val="1113"/>
        <w:rPr>
          <w:rFonts w:eastAsia="方正仿宋_GBK"/>
          <w:bCs/>
          <w:sz w:val="24"/>
        </w:rPr>
      </w:pPr>
      <w:r>
        <w:rPr>
          <w:rFonts w:eastAsia="方正仿宋_GBK"/>
          <w:bCs/>
          <w:sz w:val="24"/>
        </w:rPr>
        <w:t xml:space="preserve">2、未经甲方事先书面同意，乙方不得将甲方或甲方委托的第三方提供的有关合同或合同条文、规格、计划或其他书面资料以及甲方任何尚未公开的信息（合称保密信息）向与履行本合同无关的任何第三方披露、泄露或许可该第三方使用。如乙方因履行本合同需要向第三方披露上述资料及保密信息，乙方应注意保密并将披露限于履行合同必须的范围，并保证该第三方亦履行上述保密义务，同时乙方应将披露情况通报甲方。乙方上述保密义务不因本合同的终止而结束，直至上述保密信息公开为止。</w:t>
      </w:r>
      <w:r>
        <w:rPr>
          <w:rFonts w:eastAsia="方正仿宋_GBK"/>
          <w:bCs/>
          <w:sz w:val="24"/>
        </w:rPr>
      </w:r>
      <w:r/>
    </w:p>
    <w:p>
      <w:pPr>
        <w:pStyle w:val="1113"/>
        <w:rPr>
          <w:rFonts w:eastAsia="方正仿宋_GBK"/>
          <w:bCs/>
          <w:sz w:val="24"/>
        </w:rPr>
      </w:pPr>
      <w:r>
        <w:rPr>
          <w:rFonts w:eastAsia="方正仿宋_GBK"/>
          <w:bCs/>
          <w:sz w:val="24"/>
        </w:rPr>
        <w:t xml:space="preserve">3、没有甲方事先同意，除了履行本合同外，乙方不应使用上述条款所列举的任何文件、资料和保密信息。乙方在完成合同后应将相关文件、资料和保密信息及全部复印件归还甲方，不能归还的应当销毁。</w:t>
      </w:r>
      <w:r>
        <w:rPr>
          <w:rFonts w:eastAsia="方正仿宋_GBK"/>
          <w:bCs/>
          <w:sz w:val="24"/>
        </w:rPr>
      </w:r>
      <w:r/>
    </w:p>
    <w:p>
      <w:pPr>
        <w:pStyle w:val="1113"/>
        <w:rPr>
          <w:rFonts w:eastAsia="方正仿宋_GBK"/>
          <w:bCs/>
          <w:sz w:val="24"/>
        </w:rPr>
      </w:pPr>
      <w:r>
        <w:rPr>
          <w:rFonts w:eastAsia="方正仿宋_GBK"/>
          <w:bCs/>
          <w:sz w:val="24"/>
        </w:rPr>
        <w:t xml:space="preserve">4、乙方在履行本合同过程中所形成的软件著作权、成果、发明、源代码、技术资料及其他任何形式、任何阶段或任何载体的知识产权均归属甲方所有。</w:t>
      </w:r>
      <w:r>
        <w:rPr>
          <w:rFonts w:eastAsia="方正仿宋_GBK"/>
          <w:bCs/>
          <w:sz w:val="24"/>
        </w:rPr>
      </w:r>
      <w:r/>
    </w:p>
    <w:p>
      <w:pPr>
        <w:pStyle w:val="1113"/>
        <w:rPr>
          <w:rFonts w:eastAsia="方正仿宋_GBK"/>
          <w:bCs/>
          <w:sz w:val="24"/>
        </w:rPr>
      </w:pPr>
      <w:r>
        <w:rPr>
          <w:rFonts w:eastAsia="方正仿宋_GBK"/>
          <w:bCs/>
          <w:sz w:val="24"/>
        </w:rPr>
        <w:t xml:space="preserve">5、乙方或乙方人员违反本合同项下的信息安全保障、保密义务或知识产权等约定的，应当向甲方支付本合同金额20％的违约金，如违约金不足以弥补甲方直接经济损失的，乙方应继续赔偿，同时甲方保留解除本合同的权利，并视情况向相关主管部门进行通报。</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   测试与验收</w:t>
      </w:r>
      <w:r>
        <w:rPr>
          <w:rFonts w:eastAsia="等线"/>
          <w:b/>
          <w:bCs/>
          <w:color w:val="000000"/>
          <w:sz w:val="24"/>
          <w:szCs w:val="24"/>
        </w:rPr>
      </w:r>
      <w:r/>
    </w:p>
    <w:p>
      <w:pPr>
        <w:pStyle w:val="1113"/>
        <w:rPr>
          <w:rFonts w:eastAsia="方正仿宋_GBK"/>
          <w:bCs/>
          <w:sz w:val="24"/>
        </w:rPr>
      </w:pPr>
      <w:r>
        <w:rPr>
          <w:rFonts w:eastAsia="方正仿宋_GBK"/>
          <w:bCs/>
          <w:sz w:val="24"/>
        </w:rPr>
        <w:t xml:space="preserve">1、进场前的检验和测试</w:t>
      </w:r>
      <w:r>
        <w:rPr>
          <w:rFonts w:eastAsia="方正仿宋_GBK"/>
          <w:bCs/>
          <w:sz w:val="24"/>
        </w:rPr>
      </w:r>
      <w:r/>
    </w:p>
    <w:p>
      <w:pPr>
        <w:pStyle w:val="1113"/>
        <w:rPr>
          <w:rFonts w:eastAsia="方正仿宋_GBK"/>
          <w:bCs/>
          <w:sz w:val="24"/>
        </w:rPr>
      </w:pPr>
      <w:r>
        <w:rPr>
          <w:rFonts w:eastAsia="方正仿宋_GBK"/>
          <w:bCs/>
          <w:sz w:val="24"/>
        </w:rPr>
        <w:t xml:space="preserve">（1）在向甲方提交工作成果前，乙方应当对产品进行详细而全面的检验与测试。</w:t>
      </w:r>
      <w:r>
        <w:rPr>
          <w:rFonts w:eastAsia="方正仿宋_GBK"/>
          <w:bCs/>
          <w:sz w:val="24"/>
        </w:rPr>
      </w:r>
      <w:r/>
    </w:p>
    <w:p>
      <w:pPr>
        <w:pStyle w:val="1113"/>
        <w:rPr>
          <w:rFonts w:eastAsia="方正仿宋_GBK"/>
          <w:bCs/>
          <w:sz w:val="24"/>
        </w:rPr>
      </w:pPr>
      <w:r>
        <w:rPr>
          <w:rFonts w:eastAsia="方正仿宋_GBK"/>
          <w:bCs/>
          <w:sz w:val="24"/>
        </w:rPr>
        <w:t xml:space="preserve">（2）甲方有权聘请第三方对乙方检验与测试过的产品进行检验和测试，以确认交付成果是否能符合甲方的目标与要求。</w:t>
      </w:r>
      <w:r>
        <w:rPr>
          <w:rFonts w:eastAsia="方正仿宋_GBK"/>
          <w:bCs/>
          <w:sz w:val="24"/>
        </w:rPr>
      </w:r>
      <w:r/>
    </w:p>
    <w:p>
      <w:pPr>
        <w:pStyle w:val="1113"/>
        <w:rPr>
          <w:rFonts w:eastAsia="方正仿宋_GBK"/>
          <w:bCs/>
          <w:sz w:val="24"/>
        </w:rPr>
      </w:pPr>
      <w:r>
        <w:rPr>
          <w:rFonts w:eastAsia="方正仿宋_GBK"/>
          <w:bCs/>
          <w:sz w:val="24"/>
        </w:rPr>
        <w:t xml:space="preserve">（3）如果检验或测试的产品不能满足甲方要求，甲方有权拒绝接受，乙方应在甲方指定的时间内改进，由此对甲方产生的损失，经双方确认损失金额后，甲方有权在合同余款中扣除，不足以弥补甲方损失的部分，乙方应承担补足责任。</w:t>
      </w:r>
      <w:r>
        <w:rPr>
          <w:rFonts w:eastAsia="方正仿宋_GBK"/>
          <w:bCs/>
          <w:sz w:val="24"/>
        </w:rPr>
      </w:r>
      <w:r/>
    </w:p>
    <w:p>
      <w:pPr>
        <w:pStyle w:val="1113"/>
        <w:rPr>
          <w:rFonts w:eastAsia="方正仿宋_GBK"/>
          <w:bCs/>
          <w:sz w:val="24"/>
        </w:rPr>
      </w:pPr>
      <w:r>
        <w:rPr>
          <w:rFonts w:eastAsia="方正仿宋_GBK"/>
          <w:bCs/>
          <w:sz w:val="24"/>
        </w:rPr>
        <w:t xml:space="preserve">2、评估与验收</w:t>
      </w:r>
      <w:r>
        <w:rPr>
          <w:rFonts w:eastAsia="方正仿宋_GBK"/>
          <w:bCs/>
          <w:sz w:val="24"/>
        </w:rPr>
      </w:r>
      <w:r/>
    </w:p>
    <w:p>
      <w:pPr>
        <w:pStyle w:val="1113"/>
        <w:rPr>
          <w:rFonts w:eastAsia="方正仿宋_GBK"/>
          <w:bCs/>
          <w:sz w:val="24"/>
        </w:rPr>
      </w:pPr>
      <w:r>
        <w:rPr>
          <w:rFonts w:eastAsia="方正仿宋_GBK"/>
          <w:bCs/>
          <w:sz w:val="24"/>
        </w:rPr>
        <w:t xml:space="preserve">（1）甲方有权对项目进行阶段性评估，乙方应予配合，并及时协调、解决实际产生的任何问题。</w:t>
      </w:r>
      <w:r>
        <w:rPr>
          <w:rFonts w:eastAsia="方正仿宋_GBK"/>
          <w:bCs/>
          <w:sz w:val="24"/>
        </w:rPr>
      </w:r>
      <w:r/>
    </w:p>
    <w:p>
      <w:pPr>
        <w:pStyle w:val="1113"/>
        <w:rPr>
          <w:rFonts w:eastAsia="方正仿宋_GBK"/>
          <w:bCs/>
          <w:sz w:val="24"/>
        </w:rPr>
      </w:pPr>
      <w:r>
        <w:rPr>
          <w:rFonts w:eastAsia="方正仿宋_GBK"/>
          <w:bCs/>
          <w:sz w:val="24"/>
        </w:rPr>
        <w:t xml:space="preserve">（2）甲方有权在各类项目现场对乙方实施进度和成果进行阶段性或整体性验收。</w:t>
      </w:r>
      <w:r>
        <w:rPr>
          <w:rFonts w:eastAsia="方正仿宋_GBK"/>
          <w:bCs/>
          <w:sz w:val="24"/>
        </w:rPr>
      </w:r>
      <w:r/>
    </w:p>
    <w:p>
      <w:pPr>
        <w:pStyle w:val="1113"/>
        <w:rPr>
          <w:rFonts w:eastAsia="方正仿宋_GBK"/>
          <w:bCs/>
          <w:sz w:val="24"/>
        </w:rPr>
      </w:pPr>
      <w:r>
        <w:rPr>
          <w:rFonts w:eastAsia="方正仿宋_GBK"/>
          <w:bCs/>
          <w:sz w:val="24"/>
        </w:rPr>
        <w:t xml:space="preserve">（3）乙方应根据甲方的要求开展产品试运行工作，如由于乙方原因，在试运行期间出现故障或问题，乙方应及时排除该方面的故障或问题，所引起的相关费用由乙方承担，试运行结束后形成试运行报告。</w:t>
      </w:r>
      <w:r>
        <w:rPr>
          <w:rFonts w:eastAsia="方正仿宋_GBK"/>
          <w:bCs/>
          <w:sz w:val="24"/>
        </w:rPr>
      </w:r>
      <w:r/>
    </w:p>
    <w:p>
      <w:pPr>
        <w:pStyle w:val="1113"/>
        <w:rPr>
          <w:rFonts w:eastAsia="方正仿宋_GBK"/>
          <w:bCs/>
          <w:sz w:val="24"/>
        </w:rPr>
      </w:pPr>
      <w:r>
        <w:rPr>
          <w:rFonts w:eastAsia="方正仿宋_GBK"/>
          <w:bCs/>
          <w:sz w:val="24"/>
        </w:rPr>
        <w:t xml:space="preserve">（4）项目部署实施完成后，由甲方组织相关专家，对乙方完成工作情况进行评审、验收，验收标准以本合同、招标文件、投标文件及甲方的要求为准，验收不合格的，乙方需在指定时间内整改。</w:t>
      </w:r>
      <w:r>
        <w:rPr>
          <w:rFonts w:eastAsia="方正仿宋_GBK"/>
          <w:bCs/>
          <w:sz w:val="24"/>
        </w:rPr>
      </w:r>
      <w:r/>
    </w:p>
    <w:p>
      <w:pPr>
        <w:pStyle w:val="1113"/>
        <w:rPr>
          <w:rFonts w:eastAsia="方正仿宋_GBK"/>
          <w:bCs/>
          <w:sz w:val="24"/>
        </w:rPr>
      </w:pPr>
      <w:r>
        <w:rPr>
          <w:rFonts w:eastAsia="方正仿宋_GBK"/>
          <w:bCs/>
          <w:sz w:val="24"/>
        </w:rPr>
        <w:t xml:space="preserve">（5）在项目整体或者全部验收完毕前，项目范围内任何系统全部或者部分投入使用或者试运行等均不视为相关系统已经验收合格。</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人员变更</w:t>
      </w:r>
      <w:r>
        <w:rPr>
          <w:rFonts w:eastAsia="等线"/>
          <w:b/>
          <w:bCs/>
          <w:color w:val="000000"/>
          <w:sz w:val="24"/>
          <w:szCs w:val="24"/>
        </w:rPr>
      </w:r>
      <w:r/>
    </w:p>
    <w:p>
      <w:pPr>
        <w:pStyle w:val="1113"/>
        <w:rPr>
          <w:rFonts w:eastAsia="方正仿宋_GBK"/>
          <w:bCs/>
          <w:sz w:val="24"/>
        </w:rPr>
      </w:pPr>
      <w:r>
        <w:rPr>
          <w:rFonts w:eastAsia="方正仿宋_GBK"/>
          <w:bCs/>
          <w:sz w:val="24"/>
        </w:rPr>
        <w:t xml:space="preserve">1、乙方不得在项目实施过程中擅自更换项目负责人或项目组成员。如果乙方由于无法控制的原因必须更换时，乙方应在取得甲方书面同意后提供一名具有同等或更高资历的人员。</w:t>
      </w:r>
      <w:r>
        <w:rPr>
          <w:rFonts w:eastAsia="方正仿宋_GBK"/>
          <w:bCs/>
          <w:sz w:val="24"/>
        </w:rPr>
      </w:r>
      <w:r/>
    </w:p>
    <w:p>
      <w:pPr>
        <w:pStyle w:val="1113"/>
        <w:rPr>
          <w:rFonts w:eastAsia="方正仿宋_GBK"/>
          <w:bCs/>
          <w:sz w:val="24"/>
        </w:rPr>
      </w:pPr>
      <w:r>
        <w:rPr>
          <w:rFonts w:eastAsia="方正仿宋_GBK"/>
          <w:bCs/>
          <w:sz w:val="24"/>
        </w:rPr>
        <w:t xml:space="preserve">2、如果甲方发现乙方项目负责人或项目组成员存在以下问题，甲方有权书面要求乙方更换该人员。乙方在收到甲方书面通知后，必须及时更换该人员。此外，新更换人员的资历应预先取得甲方书面认可：</w:t>
      </w:r>
      <w:r>
        <w:rPr>
          <w:rFonts w:eastAsia="方正仿宋_GBK"/>
          <w:bCs/>
          <w:sz w:val="24"/>
        </w:rPr>
      </w:r>
      <w:r/>
    </w:p>
    <w:p>
      <w:pPr>
        <w:pStyle w:val="1113"/>
        <w:rPr>
          <w:rFonts w:eastAsia="方正仿宋_GBK"/>
          <w:bCs/>
          <w:sz w:val="24"/>
        </w:rPr>
      </w:pPr>
      <w:r>
        <w:rPr>
          <w:rFonts w:eastAsia="方正仿宋_GBK"/>
          <w:bCs/>
          <w:sz w:val="24"/>
        </w:rPr>
        <w:t xml:space="preserve">（1）被发现犯有严重的错误或被指控有犯罪行为;</w:t>
      </w:r>
      <w:r>
        <w:rPr>
          <w:rFonts w:eastAsia="方正仿宋_GBK"/>
          <w:bCs/>
          <w:sz w:val="24"/>
        </w:rPr>
      </w:r>
      <w:r/>
    </w:p>
    <w:p>
      <w:pPr>
        <w:pStyle w:val="1113"/>
        <w:rPr>
          <w:rFonts w:eastAsia="方正仿宋_GBK"/>
          <w:bCs/>
          <w:sz w:val="24"/>
        </w:rPr>
      </w:pPr>
      <w:r>
        <w:rPr>
          <w:rFonts w:eastAsia="方正仿宋_GBK"/>
          <w:bCs/>
          <w:sz w:val="24"/>
        </w:rPr>
        <w:t xml:space="preserve">（2）无法胜任工作的；</w:t>
      </w:r>
      <w:r>
        <w:rPr>
          <w:rFonts w:eastAsia="方正仿宋_GBK"/>
          <w:bCs/>
          <w:sz w:val="24"/>
        </w:rPr>
      </w:r>
      <w:r/>
    </w:p>
    <w:p>
      <w:pPr>
        <w:pStyle w:val="1113"/>
        <w:rPr>
          <w:rFonts w:eastAsia="方正仿宋_GBK"/>
          <w:bCs/>
          <w:sz w:val="24"/>
        </w:rPr>
      </w:pPr>
      <w:r>
        <w:rPr>
          <w:rFonts w:eastAsia="方正仿宋_GBK"/>
          <w:bCs/>
          <w:sz w:val="24"/>
        </w:rPr>
        <w:t xml:space="preserve">（3）不具备相关资质的；</w:t>
      </w:r>
      <w:r>
        <w:rPr>
          <w:rFonts w:eastAsia="方正仿宋_GBK"/>
          <w:bCs/>
          <w:sz w:val="24"/>
        </w:rPr>
      </w:r>
      <w:r/>
    </w:p>
    <w:p>
      <w:pPr>
        <w:pStyle w:val="1113"/>
        <w:rPr>
          <w:rFonts w:eastAsia="方正仿宋_GBK"/>
          <w:bCs/>
          <w:sz w:val="24"/>
        </w:rPr>
      </w:pPr>
      <w:r>
        <w:rPr>
          <w:rFonts w:eastAsia="方正仿宋_GBK"/>
          <w:bCs/>
          <w:sz w:val="24"/>
        </w:rPr>
        <w:t xml:space="preserve">（4）其他甲方认为需要更换的情形。</w:t>
      </w:r>
      <w:r>
        <w:rPr>
          <w:rFonts w:eastAsia="方正仿宋_GBK"/>
          <w:bCs/>
          <w:sz w:val="24"/>
        </w:rPr>
      </w:r>
      <w:r/>
    </w:p>
    <w:p>
      <w:pPr>
        <w:pStyle w:val="1113"/>
        <w:rPr>
          <w:rFonts w:eastAsia="方正仿宋_GBK"/>
          <w:bCs/>
          <w:sz w:val="24"/>
        </w:rPr>
      </w:pPr>
      <w:r>
        <w:rPr>
          <w:rFonts w:eastAsia="方正仿宋_GBK"/>
          <w:bCs/>
          <w:sz w:val="24"/>
        </w:rPr>
        <w:t xml:space="preserve">3、所有人员的变更均不影响合同的价格及合同工期。</w:t>
      </w:r>
      <w:r>
        <w:rPr>
          <w:rFonts w:eastAsia="方正仿宋_GBK"/>
          <w:bCs/>
          <w:sz w:val="24"/>
        </w:rPr>
      </w:r>
      <w:r/>
    </w:p>
    <w:p>
      <w:pPr>
        <w:pStyle w:val="1113"/>
        <w:rPr>
          <w:rFonts w:eastAsia="方正仿宋_GBK"/>
          <w:bCs/>
          <w:sz w:val="24"/>
        </w:rPr>
      </w:pPr>
      <w:r>
        <w:rPr>
          <w:rFonts w:eastAsia="方正仿宋_GBK"/>
          <w:bCs/>
          <w:sz w:val="24"/>
        </w:rPr>
        <w:t xml:space="preserve">4、乙方指派的项目负责人、主要技术负责人等人员在合同履行过程中签署出具的文件以及实施的行为，其法律后果由乙方承担。</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培训</w:t>
      </w:r>
      <w:r>
        <w:rPr>
          <w:rFonts w:eastAsia="等线"/>
          <w:b/>
          <w:bCs/>
          <w:color w:val="000000"/>
          <w:sz w:val="24"/>
          <w:szCs w:val="24"/>
        </w:rPr>
      </w:r>
      <w:r/>
    </w:p>
    <w:p>
      <w:pPr>
        <w:pStyle w:val="1038"/>
        <w:jc w:val="left"/>
        <w:spacing w:before="120" w:after="120" w:line="0" w:lineRule="atLeast"/>
        <w:rPr>
          <w:rFonts w:hint="eastAsia" w:ascii="黑体" w:eastAsia="黑体"/>
          <w:bCs/>
          <w:sz w:val="44"/>
        </w:rPr>
      </w:pPr>
      <w:r>
        <w:rPr>
          <w:rFonts w:hint="eastAsia" w:eastAsia="方正仿宋_GBK"/>
          <w:bCs/>
          <w:sz w:val="24"/>
          <w:lang w:val="en-US" w:eastAsia="zh-CN"/>
        </w:rPr>
        <w:t xml:space="preserve">   </w:t>
      </w:r>
      <w:r>
        <w:rPr>
          <w:rFonts w:eastAsia="方正仿宋_GBK"/>
          <w:bCs/>
          <w:sz w:val="24"/>
        </w:rPr>
        <w:t xml:space="preserve">1、</w:t>
      </w:r>
      <w:r>
        <w:rPr>
          <w:rFonts w:ascii="Times New Roman" w:hAnsi="Times New Roman" w:eastAsia="方正仿宋_GBK" w:cs="Times New Roman"/>
          <w:bCs/>
          <w:sz w:val="24"/>
          <w:szCs w:val="21"/>
          <w:lang w:val="en-US" w:eastAsia="zh-CN" w:bidi="ar-SA"/>
        </w:rPr>
        <w:t xml:space="preserve">乙方应安排经验丰富的培训人员，为系统使用人员提供系统配置、开发、使用和维护等方面的培训。</w:t>
      </w:r>
      <w:r>
        <w:rPr>
          <w:rFonts w:hint="eastAsia" w:ascii="黑体" w:eastAsia="黑体"/>
          <w:bCs/>
          <w:sz w:val="44"/>
        </w:rPr>
      </w:r>
      <w:r/>
    </w:p>
    <w:p>
      <w:pPr>
        <w:pStyle w:val="1113"/>
        <w:rPr>
          <w:rFonts w:eastAsia="方正仿宋_GBK"/>
          <w:bCs/>
          <w:sz w:val="24"/>
        </w:rPr>
      </w:pPr>
      <w:r>
        <w:rPr>
          <w:rFonts w:eastAsia="方正仿宋_GBK"/>
          <w:bCs/>
          <w:sz w:val="24"/>
        </w:rPr>
        <w:t xml:space="preserve">2、乙方应提供详细的培训方案。培训方案主要包括培训组织机构、培训内容、培训大纲、培训计划、培训对象等，并按照上述要求进行详细说明。</w:t>
      </w:r>
      <w:r>
        <w:rPr>
          <w:rFonts w:eastAsia="方正仿宋_GBK"/>
          <w:bCs/>
          <w:sz w:val="24"/>
        </w:rPr>
      </w:r>
      <w:r/>
    </w:p>
    <w:p>
      <w:pPr>
        <w:pStyle w:val="1113"/>
        <w:rPr>
          <w:rFonts w:eastAsia="方正仿宋_GBK"/>
          <w:bCs/>
          <w:sz w:val="24"/>
        </w:rPr>
      </w:pPr>
      <w:r>
        <w:rPr>
          <w:rFonts w:eastAsia="方正仿宋_GBK"/>
          <w:bCs/>
          <w:sz w:val="24"/>
        </w:rPr>
        <w:t xml:space="preserve">3、乙方负责提供培训所需计划和资料，培训教材格式包括用户操作手册、培训PPT，培训所使用的语言和教材必须是中文。</w:t>
      </w:r>
      <w:r>
        <w:rPr>
          <w:rFonts w:eastAsia="方正仿宋_GBK"/>
          <w:bCs/>
          <w:sz w:val="24"/>
        </w:rPr>
      </w:r>
      <w:r/>
    </w:p>
    <w:p>
      <w:pPr>
        <w:pStyle w:val="1113"/>
        <w:rPr>
          <w:rFonts w:eastAsia="方正仿宋_GBK"/>
          <w:bCs/>
          <w:sz w:val="24"/>
        </w:rPr>
      </w:pPr>
      <w:r>
        <w:rPr>
          <w:rFonts w:eastAsia="方正仿宋_GBK"/>
          <w:bCs/>
          <w:sz w:val="24"/>
        </w:rPr>
        <w:t xml:space="preserve">4、培训的时间、内容、人员、期次等具体内容在执行过程中需根据培训方案的要求进行。</w:t>
      </w:r>
      <w:r>
        <w:rPr>
          <w:rFonts w:eastAsia="方正仿宋_GBK"/>
          <w:bCs/>
          <w:sz w:val="24"/>
        </w:rPr>
      </w:r>
      <w:r/>
    </w:p>
    <w:p>
      <w:pPr>
        <w:pStyle w:val="1113"/>
        <w:rPr>
          <w:rFonts w:eastAsia="方正仿宋_GBK"/>
          <w:bCs/>
          <w:sz w:val="24"/>
        </w:rPr>
      </w:pPr>
      <w:r>
        <w:rPr>
          <w:rFonts w:eastAsia="方正仿宋_GBK"/>
          <w:bCs/>
          <w:sz w:val="24"/>
        </w:rPr>
        <w:t xml:space="preserve">5、乙方确保甲方人员经培训后能够熟练使用、操作系统及相应的硬件设备等。</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违约责任</w:t>
      </w:r>
      <w:r>
        <w:rPr>
          <w:rFonts w:eastAsia="等线"/>
          <w:b/>
          <w:bCs/>
          <w:color w:val="000000"/>
          <w:sz w:val="24"/>
          <w:szCs w:val="24"/>
        </w:rPr>
      </w:r>
      <w:r/>
    </w:p>
    <w:p>
      <w:pPr>
        <w:pStyle w:val="1113"/>
        <w:rPr>
          <w:rFonts w:eastAsia="方正仿宋_GBK"/>
          <w:bCs/>
          <w:sz w:val="24"/>
        </w:rPr>
      </w:pPr>
      <w:r>
        <w:rPr>
          <w:rFonts w:eastAsia="方正仿宋_GBK"/>
          <w:bCs/>
          <w:sz w:val="24"/>
        </w:rPr>
        <w:t xml:space="preserve">1、乙方因自身原因未按合同约定交货（包括因交货不符导致的迟延交货），或者按照相应时间节点或者服务标准提供服务的，每延迟一日/一次须向甲方支付本合同金额的3‰作为违约金；超过60日仍未完成交付或经两次以上（包含两次）验收仍不能通过验收的，甲方有权解除本合同，另乙方需按照本合同金额的20%承担违约责任，如违约金不足以弥补损失的，乙方需继续赔偿。</w:t>
      </w:r>
      <w:r>
        <w:rPr>
          <w:rFonts w:eastAsia="方正仿宋_GBK"/>
          <w:bCs/>
          <w:sz w:val="24"/>
        </w:rPr>
      </w:r>
      <w:r/>
    </w:p>
    <w:p>
      <w:pPr>
        <w:pStyle w:val="1113"/>
        <w:rPr>
          <w:rFonts w:eastAsia="方正仿宋_GBK"/>
          <w:bCs/>
          <w:sz w:val="24"/>
        </w:rPr>
      </w:pPr>
      <w:r>
        <w:rPr>
          <w:rFonts w:eastAsia="方正仿宋_GBK"/>
          <w:bCs/>
          <w:sz w:val="24"/>
        </w:rPr>
        <w:t xml:space="preserve">2、乙方交付的货物不符合合同约定的质量标准，经更换、修理或采取其他补救措施后，仍不符合合同约定的，甲方有权退货，并解除本合同，乙方须向甲方支付本合同总金额20％的违约金。</w:t>
      </w:r>
      <w:r>
        <w:rPr>
          <w:rFonts w:eastAsia="方正仿宋_GBK"/>
          <w:bCs/>
          <w:sz w:val="24"/>
        </w:rPr>
      </w:r>
      <w:r/>
    </w:p>
    <w:p>
      <w:pPr>
        <w:pStyle w:val="1113"/>
        <w:rPr>
          <w:rFonts w:eastAsia="方正仿宋_GBK"/>
          <w:bCs/>
          <w:sz w:val="24"/>
        </w:rPr>
      </w:pPr>
      <w:r>
        <w:rPr>
          <w:rFonts w:eastAsia="方正仿宋_GBK"/>
          <w:bCs/>
          <w:sz w:val="24"/>
        </w:rPr>
        <w:t xml:space="preserve">3、如因乙方原因终止合同的，乙方需退还已收取的全部费用并按同期银行贷款市场报价利率标准支付资金占用利息，甲方需退还全部交付的有形成果且不得继续使用；若以乙方交付的成果做二次开发，或甲方认为可以留用的部分，双方应按比例据实结算。</w:t>
      </w:r>
      <w:r>
        <w:rPr>
          <w:rFonts w:eastAsia="方正仿宋_GBK"/>
          <w:bCs/>
          <w:sz w:val="24"/>
        </w:rPr>
      </w:r>
      <w:r/>
    </w:p>
    <w:p>
      <w:pPr>
        <w:pStyle w:val="1113"/>
        <w:rPr>
          <w:rFonts w:eastAsia="方正仿宋_GBK"/>
          <w:bCs/>
          <w:sz w:val="24"/>
        </w:rPr>
      </w:pPr>
      <w:r>
        <w:rPr>
          <w:rFonts w:eastAsia="方正仿宋_GBK"/>
          <w:bCs/>
          <w:sz w:val="24"/>
        </w:rPr>
        <w:t xml:space="preserve">4、如甲方无正当理由逾期付款的，经乙方书面催告后，甲方在合理期限内仍未支付的，按照同期银行存款利率标准支付逾期付款利息。</w:t>
      </w:r>
      <w:r>
        <w:rPr>
          <w:rFonts w:eastAsia="方正仿宋_GBK"/>
          <w:bCs/>
          <w:sz w:val="24"/>
        </w:rPr>
      </w:r>
      <w:r/>
    </w:p>
    <w:p>
      <w:pPr>
        <w:pStyle w:val="1113"/>
        <w:rPr>
          <w:rFonts w:eastAsia="方正仿宋_GBK"/>
          <w:bCs/>
          <w:sz w:val="24"/>
        </w:rPr>
      </w:pPr>
      <w:r>
        <w:rPr>
          <w:rFonts w:eastAsia="方正仿宋_GBK"/>
          <w:bCs/>
          <w:sz w:val="24"/>
        </w:rPr>
        <w:t xml:space="preserve">5、对于甲方扣款或者要求乙方支付违约金等事项，经甲方通知乙方后，如乙方在24小时内未提出书面异议并附相关依据的，则视为乙方已经确认甲方通知的扣款等事项，此后不得再提出任何异议、调整或者变更等，也不得在最终结算时再提出任何其它异议。、</w:t>
      </w:r>
      <w:r>
        <w:rPr>
          <w:rFonts w:eastAsia="方正仿宋_GBK"/>
          <w:bCs/>
          <w:sz w:val="24"/>
        </w:rPr>
      </w:r>
      <w:r/>
    </w:p>
    <w:p>
      <w:pPr>
        <w:pStyle w:val="1113"/>
        <w:rPr>
          <w:rFonts w:eastAsia="方正仿宋_GBK"/>
          <w:bCs/>
          <w:sz w:val="24"/>
        </w:rPr>
      </w:pPr>
      <w:r>
        <w:rPr>
          <w:rFonts w:eastAsia="方正仿宋_GBK"/>
          <w:bCs/>
          <w:sz w:val="24"/>
        </w:rPr>
        <w:t xml:space="preserve">6、如乙方擅自实施转包或者挂靠的，无论最终项目是否验收合格，乙方均须按照合同总价款的10%向甲方支付违约金；如给甲方造成其它损失的，则另行据实赔偿。</w:t>
      </w:r>
      <w:r>
        <w:rPr>
          <w:rFonts w:eastAsia="方正仿宋_GBK"/>
          <w:bCs/>
          <w:sz w:val="24"/>
        </w:rPr>
      </w:r>
      <w:r/>
    </w:p>
    <w:p>
      <w:pPr>
        <w:pStyle w:val="1113"/>
        <w:rPr>
          <w:rFonts w:eastAsia="方正仿宋_GBK"/>
          <w:bCs/>
          <w:sz w:val="24"/>
        </w:rPr>
      </w:pPr>
      <w:r>
        <w:rPr>
          <w:rFonts w:eastAsia="方正仿宋_GBK"/>
          <w:bCs/>
          <w:sz w:val="24"/>
        </w:rPr>
        <w:t xml:space="preserve">7、本合同其他条款对违约责任另有约定的，从其约定；如对同一违约事项，有多处约定的，可累加适用。如对于乙方的其它违约事项未作特别约定，但系因乙方其它原因导致合同解除的，乙方均须按照合同总价款的10%向甲方支付违约金；如给甲方造成其它损失的，则另行据实赔偿。</w:t>
      </w:r>
      <w:r>
        <w:rPr>
          <w:rFonts w:eastAsia="方正仿宋_GBK"/>
          <w:bCs/>
          <w:sz w:val="24"/>
        </w:rPr>
      </w:r>
      <w:r/>
    </w:p>
    <w:p>
      <w:pPr>
        <w:pStyle w:val="1113"/>
        <w:rPr>
          <w:rFonts w:eastAsia="方正仿宋_GBK"/>
          <w:bCs/>
          <w:sz w:val="24"/>
        </w:rPr>
      </w:pPr>
      <w:r>
        <w:rPr>
          <w:rFonts w:eastAsia="方正仿宋_GBK"/>
          <w:bCs/>
          <w:sz w:val="24"/>
        </w:rPr>
        <w:t xml:space="preserve">8、乙方郑重承诺，乙方将严格按照本合同及招标文件的规定全面且诚信地履行各项合同义务。乙方特别确认，如果乙方存在任何违约行为的，除了须承担法律规定及合同约定的违约责任之外，无论该等违约行为是否给甲方造成实际损失的，甲方均可将其视为不诚信供应商，拒绝或者限制乙方后续参加本机关及下属单位的各项招标或采购活动；甲方还可将乙方的违约行为通报与招标或采购有关的其他主管机关。</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不可抗力</w:t>
      </w:r>
      <w:r>
        <w:rPr>
          <w:rFonts w:eastAsia="等线"/>
          <w:b/>
          <w:bCs/>
          <w:color w:val="000000"/>
          <w:sz w:val="24"/>
          <w:szCs w:val="24"/>
        </w:rPr>
      </w:r>
      <w:r/>
    </w:p>
    <w:p>
      <w:pPr>
        <w:pStyle w:val="1113"/>
        <w:rPr>
          <w:rFonts w:eastAsia="方正仿宋_GBK"/>
          <w:bCs/>
          <w:sz w:val="24"/>
        </w:rPr>
      </w:pPr>
      <w:r>
        <w:rPr>
          <w:rFonts w:eastAsia="方正仿宋_GBK"/>
          <w:bCs/>
          <w:sz w:val="24"/>
        </w:rPr>
        <w:t xml:space="preserve">1、本合同中，不可抗力是指不能预见、不能避免并不能克服的客观情况，包括：战争、火灾、洪水、台风、地震、政策变化或其他人力不可抗拒之事件。</w:t>
      </w:r>
      <w:r>
        <w:rPr>
          <w:rFonts w:eastAsia="方正仿宋_GBK"/>
          <w:bCs/>
          <w:sz w:val="24"/>
        </w:rPr>
      </w:r>
      <w:r/>
    </w:p>
    <w:p>
      <w:pPr>
        <w:pStyle w:val="1113"/>
        <w:rPr>
          <w:rFonts w:eastAsia="方正仿宋_GBK"/>
          <w:bCs/>
          <w:sz w:val="24"/>
        </w:rPr>
      </w:pPr>
      <w:r>
        <w:rPr>
          <w:rFonts w:eastAsia="方正仿宋_GBK"/>
          <w:bCs/>
          <w:sz w:val="24"/>
        </w:rPr>
        <w:t xml:space="preserve">2、因不可抗力事件导致本合同无法履行或迟延履行，双方均免责，但遭受不可抗力事件的一方应及时通知另一方，并在事件发生后15日内提供法定机构出具的有效证明。</w:t>
      </w:r>
      <w:r>
        <w:rPr>
          <w:rFonts w:eastAsia="方正仿宋_GBK"/>
          <w:bCs/>
          <w:sz w:val="24"/>
        </w:rPr>
      </w:r>
      <w:r/>
    </w:p>
    <w:p>
      <w:pPr>
        <w:pStyle w:val="1113"/>
        <w:rPr>
          <w:rFonts w:eastAsia="方正仿宋_GBK"/>
          <w:bCs/>
          <w:sz w:val="24"/>
        </w:rPr>
      </w:pPr>
      <w:r>
        <w:rPr>
          <w:rFonts w:eastAsia="方正仿宋_GBK"/>
          <w:bCs/>
          <w:sz w:val="24"/>
        </w:rPr>
        <w:t xml:space="preserve">3、不可抗力事件解除后，双方应协商是否继续履行本合同，如不可抗力因素致本合同已无法履行，双方应终止本合同。</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争议的解决</w:t>
      </w:r>
      <w:r>
        <w:rPr>
          <w:rFonts w:eastAsia="等线"/>
          <w:b/>
          <w:bCs/>
          <w:color w:val="000000"/>
          <w:sz w:val="24"/>
          <w:szCs w:val="24"/>
        </w:rPr>
      </w:r>
      <w:r/>
    </w:p>
    <w:p>
      <w:pPr>
        <w:pStyle w:val="1113"/>
        <w:rPr>
          <w:rFonts w:eastAsia="方正仿宋_GBK"/>
          <w:bCs/>
          <w:sz w:val="24"/>
        </w:rPr>
      </w:pPr>
      <w:r>
        <w:rPr>
          <w:rFonts w:eastAsia="方正仿宋_GBK"/>
          <w:bCs/>
          <w:sz w:val="24"/>
        </w:rPr>
        <w:t xml:space="preserve">因本合同而发生的或者与本合同有关的一切争议，甲乙双方应协商解决；协商不成的，任何一方均可向甲方所在地的人民法院提起诉讼。</w:t>
      </w:r>
      <w:r>
        <w:rPr>
          <w:rFonts w:eastAsia="方正仿宋_GBK"/>
          <w:bCs/>
          <w:sz w:val="24"/>
        </w:rPr>
      </w:r>
      <w:r/>
    </w:p>
    <w:p>
      <w:pPr>
        <w:pStyle w:val="998"/>
        <w:numPr>
          <w:ilvl w:val="0"/>
          <w:numId w:val="7"/>
        </w:numPr>
        <w:ind w:left="0" w:firstLine="480"/>
        <w:spacing w:line="300" w:lineRule="auto"/>
        <w:tabs>
          <w:tab w:val="left" w:pos="735" w:leader="none"/>
        </w:tabs>
        <w:rPr>
          <w:rFonts w:eastAsia="等线"/>
          <w:b/>
          <w:bCs/>
          <w:color w:val="000000"/>
          <w:sz w:val="24"/>
          <w:szCs w:val="24"/>
        </w:rPr>
      </w:pPr>
      <w:r>
        <w:rPr>
          <w:rFonts w:eastAsia="等线"/>
          <w:b/>
          <w:bCs/>
          <w:color w:val="000000"/>
          <w:sz w:val="24"/>
          <w:szCs w:val="24"/>
        </w:rPr>
        <w:t xml:space="preserve">其他事项</w:t>
      </w:r>
      <w:r>
        <w:rPr>
          <w:rFonts w:eastAsia="等线"/>
          <w:b/>
          <w:bCs/>
          <w:color w:val="000000"/>
          <w:sz w:val="24"/>
          <w:szCs w:val="24"/>
        </w:rPr>
      </w:r>
      <w:r/>
    </w:p>
    <w:p>
      <w:pPr>
        <w:pStyle w:val="1113"/>
        <w:rPr>
          <w:rFonts w:eastAsia="方正仿宋_GBK"/>
          <w:bCs/>
          <w:sz w:val="24"/>
        </w:rPr>
      </w:pPr>
      <w:r>
        <w:rPr>
          <w:rFonts w:eastAsia="方正仿宋_GBK"/>
          <w:bCs/>
          <w:sz w:val="24"/>
        </w:rPr>
        <w:t xml:space="preserve">1、本合同经双方法定代表人或授权代表签字并加盖双方单位公章或合同专用章后生效，至甲乙双方各自履行完毕合同项下全部权利义务后自动终止。未尽事宜，由双方友好协商补充或者直接按照法律规定执行。</w:t>
      </w:r>
      <w:r>
        <w:rPr>
          <w:rFonts w:eastAsia="方正仿宋_GBK"/>
          <w:bCs/>
          <w:sz w:val="24"/>
        </w:rPr>
      </w:r>
      <w:r/>
    </w:p>
    <w:p>
      <w:pPr>
        <w:pStyle w:val="1113"/>
        <w:rPr>
          <w:rFonts w:eastAsia="方正仿宋_GBK"/>
          <w:bCs/>
          <w:sz w:val="24"/>
        </w:rPr>
      </w:pPr>
      <w:r>
        <w:rPr>
          <w:rFonts w:eastAsia="方正仿宋_GBK"/>
          <w:bCs/>
          <w:sz w:val="24"/>
        </w:rPr>
        <w:t xml:space="preserve">2、本合同一式肆份，甲、乙双方各执贰份，每份具有同等的法律效力。</w:t>
      </w:r>
      <w:r>
        <w:rPr>
          <w:rFonts w:eastAsia="方正仿宋_GBK"/>
          <w:bCs/>
          <w:sz w:val="24"/>
        </w:rPr>
      </w:r>
      <w:r/>
    </w:p>
    <w:p>
      <w:pPr>
        <w:pStyle w:val="1113"/>
        <w:rPr>
          <w:rFonts w:eastAsia="方正仿宋_GBK"/>
          <w:bCs/>
          <w:sz w:val="24"/>
        </w:rPr>
      </w:pPr>
      <w:r>
        <w:rPr>
          <w:rFonts w:eastAsia="方正仿宋_GBK"/>
          <w:bCs/>
          <w:sz w:val="24"/>
        </w:rPr>
        <w:t xml:space="preserve">3、</w:t>
      </w:r>
      <w:r>
        <w:rPr>
          <w:rFonts w:eastAsia="方正仿宋_GBK"/>
        </w:rPr>
        <w:t xml:space="preserve">招标文件、投标文件为本合同的有效组成部分</w:t>
      </w:r>
      <w:r>
        <w:rPr>
          <w:rFonts w:eastAsia="方正仿宋_GBK"/>
          <w:bCs/>
          <w:sz w:val="24"/>
        </w:rPr>
        <w:t xml:space="preserve">，与合同具有同等法律效力，如合同内容与招标文件、投标文件约定不一致的，应以本合同的约定为准；但是如涉及履行合同的质量要求或者技术标准等事项的，概以对乙方履行义务的要求更高或者技术标准要求更为严格的内容为准。</w:t>
      </w:r>
      <w:r>
        <w:rPr>
          <w:rFonts w:eastAsia="方正仿宋_GBK"/>
          <w:bCs/>
          <w:sz w:val="24"/>
        </w:rPr>
      </w:r>
      <w:r/>
    </w:p>
    <w:p>
      <w:pPr>
        <w:pStyle w:val="1113"/>
        <w:rPr>
          <w:rFonts w:ascii="Times New Roman" w:hAnsi="Times New Roman" w:eastAsia="方正仿宋_GBK" w:cs="Times New Roman"/>
          <w:bCs/>
          <w:sz w:val="24"/>
        </w:rPr>
      </w:pPr>
      <w:r>
        <w:rPr>
          <w:rFonts w:ascii="Times New Roman" w:hAnsi="Times New Roman" w:eastAsia="方正仿宋_GBK" w:cs="Times New Roman"/>
          <w:bCs/>
          <w:sz w:val="24"/>
        </w:rPr>
        <w:t xml:space="preserve">4、本项目的履约保证金为项目中标价的5%即人民币</w:t>
      </w:r>
      <w:r>
        <w:rPr>
          <w:rFonts w:ascii="Times New Roman" w:hAnsi="Times New Roman" w:eastAsia="方正仿宋_GBK" w:cs="Times New Roman"/>
          <w:bCs/>
          <w:sz w:val="24"/>
          <w:u w:val="single"/>
        </w:rPr>
        <w:t xml:space="preserve">      （大写）</w:t>
      </w:r>
      <w:r>
        <w:rPr>
          <w:rFonts w:ascii="Times New Roman" w:hAnsi="Times New Roman" w:eastAsia="方正仿宋_GBK" w:cs="Times New Roman"/>
          <w:bCs/>
          <w:sz w:val="24"/>
        </w:rPr>
        <w:t xml:space="preserve">，乙方全部履行合同义务，经甲方或甲方委托的验收团队验收合格无质量、进度等问题的，甲方在验收合格后一次性退还履约保证金。甲方若逾期退还履约保证金的，按照逾期部分的每日0.05%支付违约金；发生以下情况的，履约保证金不予退还或部分退还：（1）合同签订后，乙方不履行本合同义务的，甲方有权全额扣除履约保证金，全额不予退还，同时甲方权终止合同，乙方还须承担相应的法律赔偿责任。（2）乙方在履约过程中发生违约行为，给甲方造成损失的，甲方有权在乙方缴纳的履约保证金中予以扣款，以弥补甲方经济损失，不足的部分乙方另外补齐。</w:t>
      </w:r>
      <w:r>
        <w:rPr>
          <w:rFonts w:ascii="Times New Roman" w:hAnsi="Times New Roman" w:eastAsia="方正仿宋_GBK" w:cs="Times New Roman"/>
          <w:bCs/>
          <w:sz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（以下无正文）</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甲方：南通市卫生健康委员会</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法定代表人/授权代表签字：</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甲方盖章：</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签字日期：     年       月       日</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乙方：XXXXX</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法定代表人/授权代表签字 ：</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乙方盖章：</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签字日期：     年      月       日</w:t>
      </w:r>
      <w:r>
        <w:rPr>
          <w:rFonts w:eastAsia="方正仿宋_GBK"/>
          <w:bCs/>
          <w:color w:val="000000"/>
          <w:sz w:val="24"/>
          <w:szCs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center"/>
        <w:spacing w:before="120" w:after="120" w:line="0" w:lineRule="atLeast"/>
        <w:rPr>
          <w:rFonts w:hint="eastAsia" w:eastAsia="方正仿宋_GBK"/>
          <w:bCs/>
          <w:sz w:val="24"/>
        </w:rPr>
      </w:pPr>
      <w:r>
        <w:rPr>
          <w:rFonts w:hint="eastAsia" w:eastAsia="方正仿宋_GBK"/>
          <w:bCs/>
          <w:sz w:val="24"/>
        </w:rPr>
      </w:r>
      <w:r/>
    </w:p>
    <w:p>
      <w:pPr>
        <w:pStyle w:val="1038"/>
        <w:jc w:val="both"/>
        <w:spacing w:before="120" w:after="120" w:line="0" w:lineRule="atLeast"/>
        <w:rPr>
          <w:rFonts w:hint="eastAsia" w:eastAsia="方正仿宋_GBK"/>
          <w:bCs/>
          <w:sz w:val="24"/>
        </w:rPr>
      </w:pPr>
      <w:r>
        <w:rPr>
          <w:rFonts w:hint="eastAsia" w:eastAsia="方正仿宋_GBK"/>
          <w:bCs/>
          <w:sz w:val="24"/>
        </w:rPr>
      </w:r>
      <w:r/>
    </w:p>
    <w:p>
      <w:pPr>
        <w:pStyle w:val="998"/>
        <w:spacing w:line="300" w:lineRule="auto"/>
        <w:rPr>
          <w:rFonts w:eastAsia="等线"/>
          <w:b/>
          <w:color w:val="000000"/>
        </w:rPr>
      </w:pPr>
      <w:r>
        <w:rPr>
          <w:rFonts w:eastAsia="等线"/>
          <w:b/>
          <w:color w:val="000000"/>
        </w:rPr>
        <w:t xml:space="preserve">附件： </w:t>
      </w:r>
      <w:r>
        <w:rPr>
          <w:rFonts w:eastAsia="等线"/>
          <w:b/>
          <w:color w:val="000000"/>
        </w:rPr>
      </w:r>
      <w:r/>
    </w:p>
    <w:p>
      <w:pPr>
        <w:pStyle w:val="998"/>
        <w:spacing w:line="300" w:lineRule="auto"/>
        <w:rPr>
          <w:rFonts w:eastAsia="等线"/>
          <w:bCs/>
          <w:color w:val="000000"/>
        </w:rPr>
      </w:pPr>
      <w:r>
        <w:rPr>
          <w:rFonts w:eastAsia="等线"/>
          <w:bCs/>
          <w:color w:val="000000"/>
        </w:rPr>
      </w:r>
      <w:r/>
    </w:p>
    <w:p>
      <w:pPr>
        <w:pStyle w:val="998"/>
        <w:ind w:firstLine="480"/>
        <w:rPr>
          <w:rFonts w:eastAsia="方正仿宋_GBK"/>
          <w:bCs/>
          <w:sz w:val="24"/>
        </w:rPr>
      </w:pPr>
      <w:r>
        <w:rPr>
          <w:rFonts w:eastAsia="方正仿宋_GBK"/>
          <w:bCs/>
          <w:sz w:val="24"/>
        </w:rPr>
        <w:t xml:space="preserve">甲、乙双方确认，</w:t>
      </w:r>
      <w:r>
        <w:rPr>
          <w:rFonts w:eastAsia="方正仿宋_GBK"/>
          <w:sz w:val="24"/>
          <w:szCs w:val="24"/>
        </w:rPr>
        <w:t xml:space="preserve">南通市卫生健康委员会2025年系统改造项目</w:t>
      </w:r>
      <w:r>
        <w:rPr>
          <w:rFonts w:eastAsia="方正仿宋_GBK"/>
          <w:bCs/>
          <w:sz w:val="24"/>
        </w:rPr>
        <w:t xml:space="preserve">的名称及详细规格如下：</w:t>
      </w:r>
      <w:r>
        <w:rPr>
          <w:rFonts w:eastAsia="方正仿宋_GBK"/>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9"/>
        <w:gridCol w:w="1746"/>
        <w:gridCol w:w="1267"/>
        <w:gridCol w:w="1298"/>
        <w:gridCol w:w="1715"/>
      </w:tblGrid>
      <w:tr>
        <w:trPr>
          <w:cantSplit/>
          <w:trHeight w:val="669"/>
        </w:trPr>
        <w:tc>
          <w:tcPr>
            <w:tcW w:w="1712" w:type="dxa"/>
            <w:vAlign w:val="center"/>
            <w:textDirection w:val="lrTb"/>
            <w:noWrap w:val="false"/>
          </w:tcPr>
          <w:p>
            <w:pPr>
              <w:pStyle w:val="998"/>
              <w:jc w:val="center"/>
              <w:spacing w:line="300" w:lineRule="auto"/>
              <w:rPr>
                <w:rFonts w:eastAsia="等线"/>
                <w:b/>
                <w:color w:val="000000"/>
              </w:rPr>
            </w:pPr>
            <w:r>
              <w:rPr>
                <w:rFonts w:eastAsia="等线"/>
                <w:b/>
                <w:color w:val="000000"/>
              </w:rPr>
              <w:t xml:space="preserve">服务名称</w:t>
            </w:r>
            <w:r>
              <w:rPr>
                <w:rFonts w:eastAsia="等线"/>
                <w:b/>
                <w:color w:val="000000"/>
              </w:rPr>
            </w:r>
            <w:r/>
          </w:p>
        </w:tc>
        <w:tc>
          <w:tcPr>
            <w:tcW w:w="952" w:type="dxa"/>
            <w:vAlign w:val="center"/>
            <w:textDirection w:val="lrTb"/>
            <w:noWrap w:val="false"/>
          </w:tcPr>
          <w:p>
            <w:pPr>
              <w:pStyle w:val="998"/>
              <w:jc w:val="center"/>
              <w:spacing w:line="300" w:lineRule="auto"/>
              <w:rPr>
                <w:rFonts w:eastAsia="等线"/>
                <w:b/>
                <w:color w:val="000000"/>
              </w:rPr>
            </w:pPr>
            <w:r>
              <w:rPr>
                <w:rFonts w:eastAsia="等线"/>
                <w:b/>
                <w:color w:val="000000"/>
              </w:rPr>
              <w:t xml:space="preserve">型    号</w:t>
            </w:r>
            <w:r>
              <w:rPr>
                <w:rFonts w:eastAsia="等线"/>
                <w:b/>
                <w:color w:val="000000"/>
              </w:rPr>
            </w:r>
            <w:r/>
          </w:p>
        </w:tc>
        <w:tc>
          <w:tcPr>
            <w:tcW w:w="691" w:type="dxa"/>
            <w:vAlign w:val="center"/>
            <w:textDirection w:val="lrTb"/>
            <w:noWrap w:val="false"/>
          </w:tcPr>
          <w:p>
            <w:pPr>
              <w:pStyle w:val="998"/>
              <w:jc w:val="center"/>
              <w:spacing w:line="300" w:lineRule="auto"/>
              <w:rPr>
                <w:rFonts w:eastAsia="等线"/>
                <w:b/>
                <w:color w:val="000000"/>
              </w:rPr>
            </w:pPr>
            <w:r>
              <w:rPr>
                <w:rFonts w:eastAsia="等线"/>
                <w:b/>
                <w:color w:val="000000"/>
              </w:rPr>
              <w:t xml:space="preserve">数量</w:t>
            </w:r>
            <w:r>
              <w:rPr>
                <w:rFonts w:eastAsia="等线"/>
                <w:b/>
                <w:color w:val="000000"/>
              </w:rPr>
            </w:r>
            <w:r/>
          </w:p>
        </w:tc>
        <w:tc>
          <w:tcPr>
            <w:tcW w:w="708" w:type="dxa"/>
            <w:vAlign w:val="center"/>
            <w:textDirection w:val="lrTb"/>
            <w:noWrap w:val="false"/>
          </w:tcPr>
          <w:p>
            <w:pPr>
              <w:pStyle w:val="998"/>
              <w:jc w:val="center"/>
              <w:spacing w:line="300" w:lineRule="auto"/>
              <w:rPr>
                <w:rFonts w:eastAsia="等线"/>
                <w:b/>
                <w:color w:val="000000"/>
              </w:rPr>
            </w:pPr>
            <w:r>
              <w:rPr>
                <w:rFonts w:eastAsia="等线"/>
                <w:b/>
                <w:color w:val="000000"/>
              </w:rPr>
              <w:t xml:space="preserve">维保期</w:t>
            </w:r>
            <w:r>
              <w:rPr>
                <w:rFonts w:eastAsia="等线"/>
                <w:b/>
                <w:color w:val="000000"/>
              </w:rPr>
            </w:r>
            <w:r/>
          </w:p>
        </w:tc>
        <w:tc>
          <w:tcPr>
            <w:tcW w:w="935" w:type="dxa"/>
            <w:vAlign w:val="center"/>
            <w:textDirection w:val="lrTb"/>
            <w:noWrap w:val="false"/>
          </w:tcPr>
          <w:p>
            <w:pPr>
              <w:pStyle w:val="998"/>
              <w:jc w:val="center"/>
              <w:spacing w:line="300" w:lineRule="auto"/>
              <w:rPr>
                <w:rFonts w:eastAsia="等线"/>
                <w:b/>
                <w:color w:val="000000"/>
              </w:rPr>
            </w:pPr>
            <w:r>
              <w:rPr>
                <w:rFonts w:eastAsia="等线"/>
                <w:b/>
                <w:color w:val="000000"/>
              </w:rPr>
              <w:t xml:space="preserve">金额（元）</w:t>
            </w:r>
            <w:r>
              <w:rPr>
                <w:rFonts w:eastAsia="等线"/>
                <w:b/>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lang w:eastAsia="en-US"/>
              </w:rPr>
            </w:pPr>
            <w:r>
              <w:rPr>
                <w:rFonts w:eastAsia="等线"/>
                <w:bCs/>
                <w:color w:val="000000"/>
                <w:lang w:eastAsia="en-US"/>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lang w:eastAsia="en-US"/>
              </w:rPr>
            </w:pPr>
            <w:r>
              <w:rPr>
                <w:rFonts w:eastAsia="等线"/>
                <w:bCs/>
                <w:color w:val="000000"/>
                <w:lang w:eastAsia="en-US"/>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r>
        <w:trPr>
          <w:cantSplit/>
          <w:trHeight w:val="680"/>
        </w:trPr>
        <w:tc>
          <w:tcPr>
            <w:tcW w:w="1712" w:type="dxa"/>
            <w:vAlign w:val="center"/>
            <w:textDirection w:val="lrTb"/>
            <w:noWrap w:val="false"/>
          </w:tcPr>
          <w:p>
            <w:pPr>
              <w:pStyle w:val="998"/>
              <w:spacing w:line="300" w:lineRule="auto"/>
              <w:rPr>
                <w:rFonts w:eastAsia="等线"/>
                <w:bCs/>
                <w:color w:val="000000"/>
              </w:rPr>
            </w:pPr>
            <w:r>
              <w:rPr>
                <w:rFonts w:eastAsia="等线"/>
                <w:bCs/>
                <w:color w:val="000000"/>
              </w:rPr>
            </w:r>
            <w:r/>
          </w:p>
        </w:tc>
        <w:tc>
          <w:tcPr>
            <w:tcW w:w="952"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691"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708"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c>
          <w:tcPr>
            <w:tcW w:w="935" w:type="dxa"/>
            <w:vAlign w:val="center"/>
            <w:textDirection w:val="lrTb"/>
            <w:noWrap w:val="false"/>
          </w:tcPr>
          <w:p>
            <w:pPr>
              <w:pStyle w:val="998"/>
              <w:jc w:val="center"/>
              <w:spacing w:line="300" w:lineRule="auto"/>
              <w:rPr>
                <w:rFonts w:eastAsia="等线"/>
                <w:bCs/>
                <w:color w:val="000000"/>
              </w:rPr>
            </w:pPr>
            <w:r>
              <w:rPr>
                <w:rFonts w:eastAsia="等线"/>
                <w:bCs/>
                <w:color w:val="000000"/>
              </w:rPr>
            </w:r>
            <w:r/>
          </w:p>
        </w:tc>
      </w:tr>
    </w:tbl>
    <w:p>
      <w:pPr>
        <w:pStyle w:val="998"/>
        <w:spacing w:line="300" w:lineRule="auto"/>
        <w:rPr>
          <w:rFonts w:eastAsia="等线"/>
          <w:b/>
          <w:color w:val="000000"/>
        </w:rPr>
      </w:pPr>
      <w:r>
        <w:rPr>
          <w:rFonts w:eastAsia="等线"/>
          <w:b/>
          <w:color w:val="000000"/>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（以下无正文）</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甲方：南通市卫生健康委员会</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授权代表签字：</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签字日期：        年        月        日</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乙方：XXXXX</w:t>
      </w: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r>
      <w:r/>
    </w:p>
    <w:p>
      <w:pPr>
        <w:pStyle w:val="998"/>
        <w:spacing w:line="300" w:lineRule="auto"/>
        <w:rPr>
          <w:rFonts w:eastAsia="方正仿宋_GBK"/>
          <w:bCs/>
          <w:color w:val="000000"/>
          <w:sz w:val="24"/>
          <w:szCs w:val="24"/>
        </w:rPr>
      </w:pPr>
      <w:r>
        <w:rPr>
          <w:rFonts w:eastAsia="方正仿宋_GBK"/>
          <w:bCs/>
          <w:color w:val="000000"/>
          <w:sz w:val="24"/>
          <w:szCs w:val="24"/>
        </w:rPr>
        <w:t xml:space="preserve">授权代表签字：</w:t>
      </w:r>
      <w:r>
        <w:rPr>
          <w:rFonts w:eastAsia="方正仿宋_GBK"/>
          <w:bCs/>
          <w:color w:val="000000"/>
          <w:sz w:val="24"/>
          <w:szCs w:val="24"/>
        </w:rPr>
      </w:r>
      <w:r/>
    </w:p>
    <w:p>
      <w:pPr>
        <w:pStyle w:val="1010"/>
      </w:pPr>
      <w:r/>
      <w:r/>
    </w:p>
    <w:p>
      <w:pPr>
        <w:pStyle w:val="1038"/>
        <w:jc w:val="both"/>
        <w:spacing w:before="120" w:after="120" w:line="0" w:lineRule="atLeast"/>
        <w:rPr>
          <w:rFonts w:hint="eastAsia" w:ascii="黑体" w:eastAsia="黑体"/>
          <w:bCs/>
          <w:sz w:val="44"/>
        </w:rPr>
      </w:pPr>
      <w:r>
        <w:rPr>
          <w:rFonts w:eastAsia="方正仿宋_GBK"/>
          <w:bCs/>
          <w:color w:val="000000"/>
          <w:sz w:val="24"/>
          <w:szCs w:val="24"/>
        </w:rPr>
        <w:t xml:space="preserve">签字日期：        年        月       日</w:t>
      </w:r>
      <w:r>
        <w:rPr>
          <w:rFonts w:hint="eastAsia" w:ascii="黑体" w:eastAsia="黑体"/>
          <w:bCs/>
          <w:sz w:val="44"/>
        </w:rPr>
      </w:r>
      <w:r/>
    </w:p>
    <w:p>
      <w:pPr>
        <w:pStyle w:val="1038"/>
        <w:jc w:val="center"/>
        <w:spacing w:before="120" w:after="120" w:line="0" w:lineRule="atLeast"/>
        <w:rPr>
          <w:rFonts w:hint="eastAsia" w:hAnsi="宋体"/>
          <w:sz w:val="24"/>
          <w:szCs w:val="24"/>
        </w:rPr>
      </w:pPr>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998"/>
        <w:spacing w:line="0" w:lineRule="atLeast"/>
        <w:rPr>
          <w:rFonts w:ascii="Times New Roman" w:hAnsi="Times New Roman" w:eastAsia="方正仿宋_GBK" w:cs="Times New Roman"/>
          <w:color w:val="000000"/>
          <w:sz w:val="24"/>
          <w:szCs w:val="24"/>
          <w:highlight w:val="yellow"/>
        </w:rPr>
      </w:pPr>
      <w:r/>
      <w:bookmarkStart w:id="194" w:name="_Toc26554093"/>
      <w:r/>
      <w:bookmarkStart w:id="195"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98"/>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98"/>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998"/>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998"/>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998"/>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998"/>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998"/>
              <w:jc w:val="left"/>
              <w:spacing w:line="480" w:lineRule="exact"/>
              <w:tabs>
                <w:tab w:val="left" w:pos="2020" w:leader="none"/>
              </w:tabs>
              <w:rPr>
                <w:rFonts w:ascii="Times New Roman" w:hAnsi="Times New Roman" w:eastAsia="方正仿宋_GBK" w:cs="Times New Roman"/>
                <w:color w:val="000000"/>
                <w:sz w:val="24"/>
                <w:szCs w:val="24"/>
              </w:rPr>
            </w:pPr>
            <w:r>
              <w:rPr>
                <w:rFonts w:hint="eastAsia" w:eastAsia="方正仿宋_GBK"/>
                <w:sz w:val="24"/>
                <w:szCs w:val="24"/>
              </w:rPr>
              <w:t xml:space="preserve">南通市卫生健康委员会2</w:t>
            </w:r>
            <w:r>
              <w:rPr>
                <w:rFonts w:eastAsia="方正仿宋_GBK"/>
                <w:sz w:val="24"/>
                <w:szCs w:val="24"/>
              </w:rPr>
              <w:t xml:space="preserve">025</w:t>
            </w:r>
            <w:r>
              <w:rPr>
                <w:rFonts w:hint="eastAsia" w:eastAsia="方正仿宋_GBK"/>
                <w:sz w:val="24"/>
                <w:szCs w:val="24"/>
              </w:rPr>
              <w:t xml:space="preserve">年系统改造项目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998"/>
              <w:jc w:val="center"/>
              <w:spacing w:line="480" w:lineRule="exact"/>
              <w:rPr>
                <w:rFonts w:ascii="Times New Roman" w:hAnsi="Times New Roman" w:eastAsia="方正仿宋_GBK" w:cs="Times New Roman"/>
                <w:color w:val="000000"/>
                <w:sz w:val="24"/>
                <w:szCs w:val="24"/>
              </w:rPr>
            </w:pPr>
            <w:r>
              <w:rPr>
                <w:rFonts w:eastAsia="方正仿宋_GBK"/>
                <w:sz w:val="24"/>
                <w:szCs w:val="24"/>
                <w:highlight w:val="none"/>
              </w:rPr>
              <w:fldChar w:fldCharType="begin"/>
            </w:r>
            <w:r>
              <w:rPr>
                <w:rFonts w:eastAsia="方正仿宋_GBK"/>
                <w:sz w:val="24"/>
                <w:szCs w:val="24"/>
                <w:highlight w:val="none"/>
              </w:rPr>
              <w:instrText xml:space="preserve"> HYPERLINK "https://baike.baidu.com/item/%E8%BD%AF%E4%BB%B6%E5%92%8C%E4%BF%A1%E6%81%AF%E6%8A%80%E6%9C%AF%E6%9C%8D%E5%8A%A1%E4%B8%9A/60200450?fromModule=lemma_inlink" \t "_blank" </w:instrText>
            </w:r>
            <w:r>
              <w:rPr>
                <w:rFonts w:eastAsia="方正仿宋_GBK"/>
                <w:sz w:val="24"/>
                <w:szCs w:val="24"/>
                <w:highlight w:val="none"/>
              </w:rPr>
              <w:fldChar w:fldCharType="separate"/>
            </w:r>
            <w:r>
              <w:rPr>
                <w:rFonts w:eastAsia="方正仿宋_GBK"/>
                <w:sz w:val="24"/>
                <w:szCs w:val="24"/>
                <w:highlight w:val="none"/>
              </w:rPr>
              <w:t xml:space="preserve">软件和信息技术服务业</w:t>
            </w:r>
            <w:r>
              <w:rPr>
                <w:rFonts w:eastAsia="方正仿宋_GBK"/>
                <w:sz w:val="24"/>
                <w:szCs w:val="24"/>
                <w:highlight w:val="none"/>
              </w:rPr>
              <w:fldChar w:fldCharType="end"/>
            </w:r>
            <w:r>
              <w:rPr>
                <w:rFonts w:ascii="Times New Roman" w:hAnsi="Times New Roman" w:eastAsia="方正仿宋_GBK" w:cs="Times New Roman"/>
                <w:color w:val="000000"/>
                <w:sz w:val="24"/>
                <w:szCs w:val="24"/>
              </w:rPr>
            </w:r>
            <w:r/>
          </w:p>
        </w:tc>
      </w:tr>
    </w:tbl>
    <w:p>
      <w:pPr>
        <w:pStyle w:val="998"/>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998"/>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998"/>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998"/>
        <w:numPr>
          <w:ilvl w:val="0"/>
          <w:numId w:val="8"/>
        </w:numPr>
        <w:ind w:firstLine="482"/>
        <w:jc w:val="left"/>
        <w:spacing w:line="300" w:lineRule="auto"/>
        <w:widowControl/>
        <w:rPr>
          <w:rFonts w:ascii="宋体" w:hAnsi="宋体"/>
          <w:b/>
          <w:bCs/>
          <w:sz w:val="24"/>
          <w:szCs w:val="24"/>
        </w:rPr>
        <w:outlineLvl w:val="2"/>
      </w:pPr>
      <w:r>
        <w:rPr>
          <w:rFonts w:hint="eastAsia" w:ascii="宋体" w:hAnsi="宋体"/>
          <w:b/>
          <w:bCs/>
          <w:sz w:val="24"/>
          <w:szCs w:val="24"/>
        </w:rPr>
        <w:t xml:space="preserve">全民健康信息平台功能改造和整合</w:t>
      </w:r>
      <w:r>
        <w:rPr>
          <w:rFonts w:ascii="宋体" w:hAnsi="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7695"/>
        <w:gridCol w:w="757"/>
      </w:tblGrid>
      <w:tr>
        <w:trPr/>
        <w:tc>
          <w:tcPr>
            <w:tcW w:w="391" w:type="dxa"/>
            <w:vAlign w:val="center"/>
            <w:textDirection w:val="lrTb"/>
            <w:noWrap w:val="false"/>
          </w:tcPr>
          <w:p>
            <w:pPr>
              <w:pStyle w:val="998"/>
              <w:jc w:val="center"/>
              <w:spacing w:line="300" w:lineRule="exact"/>
              <w:rPr>
                <w:b/>
                <w:bCs/>
              </w:rPr>
            </w:pPr>
            <w:r>
              <w:rPr>
                <w:b/>
                <w:bCs/>
              </w:rPr>
              <w:t xml:space="preserve">序号</w:t>
            </w:r>
            <w:r>
              <w:rPr>
                <w:b/>
                <w:bCs/>
              </w:rPr>
            </w:r>
            <w:r/>
          </w:p>
        </w:tc>
        <w:tc>
          <w:tcPr>
            <w:tcW w:w="4196" w:type="dxa"/>
            <w:vAlign w:val="center"/>
            <w:textDirection w:val="lrTb"/>
            <w:noWrap w:val="false"/>
          </w:tcPr>
          <w:p>
            <w:pPr>
              <w:pStyle w:val="998"/>
              <w:jc w:val="center"/>
              <w:spacing w:line="300" w:lineRule="exact"/>
              <w:rPr>
                <w:b/>
                <w:bCs/>
              </w:rPr>
            </w:pPr>
            <w:r>
              <w:rPr>
                <w:b/>
                <w:bCs/>
              </w:rPr>
              <w:t xml:space="preserve">招标技术要求</w:t>
            </w:r>
            <w:r>
              <w:rPr>
                <w:b/>
                <w:bCs/>
              </w:rPr>
            </w:r>
            <w:r/>
          </w:p>
        </w:tc>
        <w:tc>
          <w:tcPr>
            <w:tcW w:w="413" w:type="dxa"/>
            <w:vAlign w:val="center"/>
            <w:textDirection w:val="lrTb"/>
            <w:noWrap w:val="false"/>
          </w:tcPr>
          <w:p>
            <w:pPr>
              <w:pStyle w:val="998"/>
              <w:jc w:val="center"/>
              <w:spacing w:line="300" w:lineRule="exact"/>
              <w:rPr>
                <w:b/>
                <w:bCs/>
              </w:rPr>
            </w:pPr>
            <w:r>
              <w:rPr>
                <w:b/>
                <w:bCs/>
              </w:rPr>
              <w:t xml:space="preserve">重要</w:t>
            </w:r>
            <w:r>
              <w:rPr>
                <w:b/>
                <w:bCs/>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一、全民健康信息基础组件</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全民健康信息平台基础组件适配改造，旨在重新改造程序代码以确保其与新架构兼容，支撑国产化环境中构建一个覆盖注册管理、数据存储、主索引服务、健康档案全程管理的全民健康信息平台基础架构体系，该体系作为整个区域卫生信息化的核心底座，通过标准化流程与智能化工具实现医疗实体唯一标识、多源数据融合及跨机构服务协同。</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rFonts w:hint="eastAsia"/>
                <w:b/>
                <w:bCs/>
                <w:sz w:val="18"/>
                <w:szCs w:val="18"/>
              </w:rPr>
              <w:t xml:space="preserve">1</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注册服务</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（1）需涵盖个人、医疗卫生人员、医疗卫生机构、医疗卫生术语四类实体的注册管理，支持为这些实体提供唯一标识并建立对应注册库，具备解决单个实体多标识符的能力； </w:t>
            </w:r>
            <w:r>
              <w:rPr>
                <w:sz w:val="18"/>
                <w:szCs w:val="18"/>
              </w:rPr>
            </w:r>
            <w:r/>
          </w:p>
          <w:p>
            <w:pPr>
              <w:pStyle w:val="998"/>
              <w:spacing w:line="300" w:lineRule="exact"/>
              <w:widowControl/>
              <w:rPr>
                <w:sz w:val="18"/>
                <w:szCs w:val="18"/>
              </w:rPr>
            </w:pPr>
            <w:r>
              <w:rPr>
                <w:rFonts w:hint="eastAsia"/>
                <w:sz w:val="18"/>
                <w:szCs w:val="18"/>
              </w:rPr>
              <w:t xml:space="preserve">（2）需支持居民信息提交、查询、交叉索引查询、变更通知、订阅及索引合并 / 变更通知等功能</w:t>
            </w:r>
            <w:r>
              <w:rPr>
                <w:sz w:val="18"/>
                <w:szCs w:val="18"/>
              </w:rPr>
            </w:r>
            <w:r/>
          </w:p>
          <w:p>
            <w:pPr>
              <w:pStyle w:val="998"/>
              <w:spacing w:line="300" w:lineRule="exact"/>
              <w:widowControl/>
              <w:rPr>
                <w:sz w:val="18"/>
                <w:szCs w:val="18"/>
              </w:rPr>
            </w:pPr>
            <w:r>
              <w:rPr>
                <w:rFonts w:hint="eastAsia"/>
                <w:sz w:val="18"/>
                <w:szCs w:val="18"/>
              </w:rPr>
              <w:t xml:space="preserve">（3）需支持医疗卫生机构与人员的信息提交、查询、订阅及变更通知服务，支持术语值集获取、查询、映射及新术语提交及注册流程。</w:t>
            </w:r>
            <w:r>
              <w:rPr>
                <w:sz w:val="18"/>
                <w:szCs w:val="18"/>
              </w:rPr>
            </w:r>
            <w:r/>
          </w:p>
          <w:p>
            <w:pPr>
              <w:pStyle w:val="1010"/>
              <w:ind w:firstLine="0"/>
              <w:rPr>
                <w:rFonts w:hint="eastAsia" w:ascii="Times New Roman" w:hAnsi="Times New Roman"/>
                <w:b/>
                <w:bCs/>
                <w:sz w:val="18"/>
                <w:szCs w:val="18"/>
                <w:lang w:eastAsia="zh-CN"/>
              </w:rPr>
            </w:pPr>
            <w:r>
              <w:rPr>
                <w:rFonts w:hint="eastAsia" w:ascii="Times New Roman" w:hAnsi="Times New Roman"/>
                <w:b/>
                <w:bCs/>
                <w:sz w:val="18"/>
                <w:szCs w:val="18"/>
                <w:lang w:eastAsia="zh-CN"/>
              </w:rPr>
              <w:t xml:space="preserve">注：须提供信息系统功能截图佐证，不提供不得分。</w:t>
            </w:r>
            <w:r>
              <w:rPr>
                <w:rFonts w:hint="eastAsia" w:ascii="Times New Roman" w:hAnsi="Times New Roman"/>
                <w:b/>
                <w:bCs/>
                <w:sz w:val="18"/>
                <w:szCs w:val="18"/>
                <w:lang w:eastAsia="zh-CN"/>
              </w:rPr>
            </w:r>
            <w:r/>
          </w:p>
        </w:tc>
        <w:tc>
          <w:tcPr>
            <w:tcW w:w="413" w:type="dxa"/>
            <w:vAlign w:val="center"/>
            <w:textDirection w:val="lrTb"/>
            <w:noWrap w:val="false"/>
          </w:tcPr>
          <w:p>
            <w:pPr>
              <w:pStyle w:val="998"/>
              <w:spacing w:line="300" w:lineRule="exact"/>
              <w:widowControl/>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rFonts w:hint="eastAsia"/>
                <w:b/>
                <w:bCs/>
                <w:color w:val="000000"/>
                <w:sz w:val="18"/>
                <w:szCs w:val="18"/>
              </w:rPr>
              <w:t xml:space="preserve">2</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存储服务</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（1）需支持健康档案的访问、解析与封装功能，遵循 IHE ITI XDS 规范；</w:t>
            </w:r>
            <w:r>
              <w:rPr>
                <w:sz w:val="18"/>
                <w:szCs w:val="18"/>
              </w:rPr>
            </w:r>
            <w:r/>
          </w:p>
          <w:p>
            <w:pPr>
              <w:pStyle w:val="998"/>
              <w:spacing w:line="300" w:lineRule="exact"/>
              <w:widowControl/>
              <w:rPr>
                <w:sz w:val="18"/>
                <w:szCs w:val="18"/>
              </w:rPr>
            </w:pPr>
            <w:r>
              <w:rPr>
                <w:rFonts w:hint="eastAsia"/>
                <w:sz w:val="18"/>
                <w:szCs w:val="18"/>
              </w:rPr>
              <w:t xml:space="preserve">（2）需涵盖个人基本信息、主要疾病和健康问题摘要、儿童保健、妇女保健、疾病控制、疾病管理、医疗服务七大存储库；</w:t>
            </w:r>
            <w:r>
              <w:rPr>
                <w:sz w:val="18"/>
                <w:szCs w:val="18"/>
              </w:rPr>
            </w:r>
            <w:r/>
          </w:p>
          <w:p>
            <w:pPr>
              <w:pStyle w:val="998"/>
              <w:spacing w:after="120" w:line="300" w:lineRule="exact"/>
              <w:rPr>
                <w:sz w:val="18"/>
                <w:szCs w:val="18"/>
              </w:rPr>
            </w:pPr>
            <w:r>
              <w:rPr>
                <w:rFonts w:hint="eastAsia"/>
                <w:sz w:val="18"/>
                <w:szCs w:val="18"/>
              </w:rPr>
              <w:t xml:space="preserve">（3）需支持文档数据、操作型数据、数据仓库数据的分类存储，参考国际标准 EHR 存储模型，支持集中式、分布式、混合式等多种存储模式以适配多类型、大容量业务数据需求。</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3</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居民主索引</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（1）需支持建立居民区域性唯一标识，提供动态可调的字段权重配置与 “匹配”“可疑”“不符” 三级阈值匹配机制； </w:t>
            </w:r>
            <w:r>
              <w:rPr>
                <w:sz w:val="18"/>
                <w:szCs w:val="18"/>
              </w:rPr>
            </w:r>
            <w:r/>
          </w:p>
          <w:p>
            <w:pPr>
              <w:pStyle w:val="998"/>
              <w:spacing w:after="120" w:line="300" w:lineRule="exact"/>
              <w:rPr>
                <w:sz w:val="18"/>
                <w:szCs w:val="18"/>
              </w:rPr>
            </w:pPr>
            <w:r>
              <w:rPr>
                <w:rFonts w:hint="eastAsia"/>
                <w:sz w:val="18"/>
                <w:szCs w:val="18"/>
              </w:rPr>
              <w:t xml:space="preserve">（2）需涵盖 EMPI 注册、自动 / 手工合并与拆分、主索引查询与更新、精确匹配与相似度匹配功能； </w:t>
            </w:r>
            <w:r>
              <w:rPr>
                <w:sz w:val="18"/>
                <w:szCs w:val="18"/>
              </w:rPr>
            </w:r>
            <w:r/>
          </w:p>
          <w:p>
            <w:pPr>
              <w:pStyle w:val="998"/>
              <w:spacing w:after="120" w:line="300" w:lineRule="exact"/>
              <w:rPr>
                <w:sz w:val="18"/>
                <w:szCs w:val="18"/>
              </w:rPr>
            </w:pPr>
            <w:r>
              <w:rPr>
                <w:rFonts w:hint="eastAsia"/>
                <w:sz w:val="18"/>
                <w:szCs w:val="18"/>
              </w:rPr>
              <w:t xml:space="preserve">（3）需支持索引质控（含时空类、生理类、医嘱类合理性校验）与拆分 / 合并后的信息重聚合功能；</w:t>
            </w:r>
            <w:r>
              <w:rPr>
                <w:sz w:val="18"/>
                <w:szCs w:val="18"/>
              </w:rPr>
            </w:r>
            <w:r/>
          </w:p>
          <w:p>
            <w:pPr>
              <w:pStyle w:val="998"/>
              <w:spacing w:after="120" w:line="300" w:lineRule="exact"/>
              <w:rPr>
                <w:sz w:val="18"/>
                <w:szCs w:val="18"/>
              </w:rPr>
            </w:pPr>
            <w:r>
              <w:rPr>
                <w:rFonts w:hint="eastAsia"/>
                <w:sz w:val="18"/>
                <w:szCs w:val="18"/>
              </w:rPr>
              <w:t xml:space="preserve">（4）需内置居民隐私信息匿名化配置（脱敏显示、字段隐藏、模糊替换）与健康档案调阅授权（无须授权、短信验证、时效性授权）机制。</w:t>
            </w:r>
            <w:r>
              <w:rPr>
                <w:sz w:val="18"/>
                <w:szCs w:val="18"/>
              </w:rPr>
            </w:r>
            <w:r/>
          </w:p>
          <w:p>
            <w:pPr>
              <w:pStyle w:val="1010"/>
              <w:ind w:firstLine="0"/>
              <w:rPr>
                <w:rFonts w:hint="eastAsia"/>
                <w:b/>
                <w:bCs/>
                <w:sz w:val="18"/>
                <w:szCs w:val="18"/>
                <w:lang w:eastAsia="zh-CN"/>
              </w:rPr>
            </w:pPr>
            <w:r>
              <w:rPr>
                <w:rFonts w:hint="eastAsia"/>
                <w:b/>
                <w:bCs/>
                <w:sz w:val="18"/>
                <w:szCs w:val="18"/>
                <w:lang w:eastAsia="zh-CN"/>
              </w:rPr>
              <w:t xml:space="preserve">注：须提供信息系统功能截图佐证，不提供不得分。</w:t>
            </w:r>
            <w:r>
              <w:rPr>
                <w:rFonts w:hint="eastAsia"/>
                <w:b/>
                <w:bCs/>
                <w:sz w:val="18"/>
                <w:szCs w:val="18"/>
                <w:lang w:eastAsia="zh-CN"/>
              </w:rPr>
            </w:r>
            <w:r/>
          </w:p>
        </w:tc>
        <w:tc>
          <w:tcPr>
            <w:tcW w:w="413" w:type="dxa"/>
            <w:vAlign w:val="center"/>
            <w:textDirection w:val="lrTb"/>
            <w:noWrap w:val="false"/>
          </w:tcPr>
          <w:p>
            <w:pPr>
              <w:pStyle w:val="998"/>
              <w:jc w:val="center"/>
              <w:spacing w:after="120" w:line="300" w:lineRule="exact"/>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4</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全程健康档案服务</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（1）需支持索引服务功能，记录医疗卫生事件信息与文档目录信息； </w:t>
            </w:r>
            <w:r>
              <w:rPr>
                <w:sz w:val="18"/>
                <w:szCs w:val="18"/>
              </w:rPr>
            </w:r>
            <w:r/>
          </w:p>
          <w:p>
            <w:pPr>
              <w:pStyle w:val="998"/>
              <w:spacing w:line="300" w:lineRule="exact"/>
              <w:widowControl/>
              <w:rPr>
                <w:sz w:val="18"/>
                <w:szCs w:val="18"/>
              </w:rPr>
            </w:pPr>
            <w:r>
              <w:rPr>
                <w:rFonts w:hint="eastAsia"/>
                <w:sz w:val="18"/>
                <w:szCs w:val="18"/>
              </w:rPr>
              <w:t xml:space="preserve">（2）需涵盖业务服务组件，实现健康档案访问事务的协调执行、编排流管理与业务规则应用；</w:t>
            </w:r>
            <w:r>
              <w:rPr>
                <w:sz w:val="18"/>
                <w:szCs w:val="18"/>
              </w:rPr>
            </w:r>
            <w:r/>
          </w:p>
          <w:p>
            <w:pPr>
              <w:pStyle w:val="998"/>
              <w:spacing w:after="120" w:line="300" w:lineRule="exact"/>
              <w:rPr>
                <w:sz w:val="18"/>
                <w:szCs w:val="18"/>
              </w:rPr>
            </w:pPr>
            <w:r>
              <w:rPr>
                <w:rFonts w:hint="eastAsia"/>
                <w:sz w:val="18"/>
                <w:szCs w:val="18"/>
              </w:rPr>
              <w:t xml:space="preserve">（3）需提供数据服务支持，适配在线业务与管理功能场景下的数据访问、转换及与其他服务的交互；</w:t>
            </w:r>
            <w:r>
              <w:rPr>
                <w:sz w:val="18"/>
                <w:szCs w:val="18"/>
              </w:rPr>
            </w:r>
            <w:r/>
          </w:p>
          <w:p>
            <w:pPr>
              <w:pStyle w:val="998"/>
              <w:spacing w:after="120" w:line="300" w:lineRule="exact"/>
              <w:rPr>
                <w:sz w:val="18"/>
                <w:szCs w:val="18"/>
              </w:rPr>
            </w:pPr>
            <w:r>
              <w:rPr>
                <w:rFonts w:hint="eastAsia"/>
                <w:sz w:val="18"/>
                <w:szCs w:val="18"/>
              </w:rPr>
              <w:t xml:space="preserve">（4）需支持 “列表” 和 “获取” 类事务的语境管理、编排流调用与执行指导。</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5</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医疗卫生信息共享服务</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（1）需遵循 IHE ITI XDS Repository 规范，基于健康档案存储服务提供跨机构信息共享与业务协同； </w:t>
            </w:r>
            <w:r>
              <w:rPr>
                <w:sz w:val="18"/>
                <w:szCs w:val="18"/>
              </w:rPr>
            </w:r>
            <w:r/>
          </w:p>
          <w:p>
            <w:pPr>
              <w:pStyle w:val="998"/>
              <w:spacing w:line="300" w:lineRule="exact"/>
              <w:widowControl/>
              <w:rPr>
                <w:sz w:val="18"/>
                <w:szCs w:val="18"/>
              </w:rPr>
            </w:pPr>
            <w:r>
              <w:rPr>
                <w:rFonts w:hint="eastAsia"/>
                <w:sz w:val="18"/>
                <w:szCs w:val="18"/>
              </w:rPr>
              <w:t xml:space="preserve">（2）需涵盖个人基本信息、主要疾病和健康问题摘要等七大域及子域的信息共享； </w:t>
            </w:r>
            <w:r>
              <w:rPr>
                <w:sz w:val="18"/>
                <w:szCs w:val="18"/>
              </w:rPr>
            </w:r>
            <w:r/>
          </w:p>
          <w:p>
            <w:pPr>
              <w:pStyle w:val="998"/>
              <w:spacing w:after="120" w:line="300" w:lineRule="exact"/>
              <w:rPr>
                <w:sz w:val="18"/>
                <w:szCs w:val="18"/>
              </w:rPr>
            </w:pPr>
            <w:r>
              <w:rPr>
                <w:rFonts w:hint="eastAsia"/>
                <w:sz w:val="18"/>
                <w:szCs w:val="18"/>
              </w:rPr>
              <w:t xml:space="preserve">（3）需通过企业服务总线、业务流程管理等机制，实现省级功能与资源库的组装编排，对外提供可调用的协同服务，支持接入机构二次封装适配本地业务需求。</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6</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通信总线接口</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（1）需支持通信总线服务，包含消息服务（解析、加密、路由等）、协议服务（Web Services、ebXML 等多协议支持）、消息传输与 ESB 总线功能；需支持新增业务中心与 API 服务配置、在线测试、批量发布及可视化流程编排；需提供业务规则服务、应用管理、API 维护与服务订阅功能；</w:t>
            </w:r>
            <w:r>
              <w:rPr>
                <w:sz w:val="18"/>
                <w:szCs w:val="18"/>
                <w:lang w:bidi="ar"/>
              </w:rPr>
            </w:r>
            <w:r/>
          </w:p>
          <w:p>
            <w:pPr>
              <w:pStyle w:val="998"/>
              <w:spacing w:line="300" w:lineRule="exact"/>
              <w:widowControl/>
              <w:rPr>
                <w:sz w:val="18"/>
                <w:szCs w:val="18"/>
              </w:rPr>
            </w:pPr>
            <w:r>
              <w:rPr>
                <w:rFonts w:hint="eastAsia"/>
                <w:sz w:val="18"/>
                <w:szCs w:val="18"/>
                <w:lang w:bidi="ar"/>
              </w:rPr>
              <w:t xml:space="preserve">（2）需涵盖平台公共服务，包括语境管理、审计日志、集成服务、互联互通性服务、配置管理与订阅通知服务。</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7</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平台数据交换记录</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（1）需支持实时获取应用、系统、服务的日志信息，并转换为标准审计记录格式集中存储； </w:t>
            </w:r>
            <w:r>
              <w:rPr>
                <w:sz w:val="18"/>
                <w:szCs w:val="18"/>
              </w:rPr>
            </w:r>
            <w:r/>
          </w:p>
          <w:p>
            <w:pPr>
              <w:pStyle w:val="998"/>
              <w:spacing w:line="300" w:lineRule="exact"/>
              <w:widowControl/>
              <w:rPr>
                <w:sz w:val="18"/>
                <w:szCs w:val="18"/>
              </w:rPr>
            </w:pPr>
            <w:r>
              <w:rPr>
                <w:rFonts w:hint="eastAsia"/>
                <w:sz w:val="18"/>
                <w:szCs w:val="18"/>
              </w:rPr>
              <w:t xml:space="preserve">（2）需基于 IHE ITI ATNA 规范开展卫生健康事件审计； </w:t>
            </w:r>
            <w:r>
              <w:rPr>
                <w:sz w:val="18"/>
                <w:szCs w:val="18"/>
              </w:rPr>
            </w:r>
            <w:r/>
          </w:p>
          <w:p>
            <w:pPr>
              <w:pStyle w:val="998"/>
              <w:spacing w:after="120" w:line="300" w:lineRule="exact"/>
              <w:rPr>
                <w:sz w:val="18"/>
                <w:szCs w:val="18"/>
              </w:rPr>
            </w:pPr>
            <w:r>
              <w:rPr>
                <w:rFonts w:hint="eastAsia"/>
                <w:sz w:val="18"/>
                <w:szCs w:val="18"/>
              </w:rPr>
              <w:t xml:space="preserve">（3）需提供审计数据统计分析功能，支持操作次数统计、可疑用户筛选，可生成报表、图表并导出为 HTML 文件。</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8</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信息安全</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（1）需保障平台 7×24 小时不间断可靠运行，确保硬件、软件及数据的保密性、完整性与可用性； </w:t>
            </w:r>
            <w:r>
              <w:rPr>
                <w:sz w:val="18"/>
                <w:szCs w:val="18"/>
              </w:rPr>
            </w:r>
            <w:r/>
          </w:p>
          <w:p>
            <w:pPr>
              <w:pStyle w:val="998"/>
              <w:spacing w:line="300" w:lineRule="exact"/>
              <w:widowControl/>
              <w:rPr>
                <w:sz w:val="18"/>
                <w:szCs w:val="18"/>
              </w:rPr>
            </w:pPr>
            <w:r>
              <w:rPr>
                <w:rFonts w:hint="eastAsia"/>
                <w:sz w:val="18"/>
                <w:szCs w:val="18"/>
              </w:rPr>
              <w:t xml:space="preserve">（2）需防范病毒、非法访问、黑客攻击等安全威胁； </w:t>
            </w:r>
            <w:r>
              <w:rPr>
                <w:sz w:val="18"/>
                <w:szCs w:val="18"/>
              </w:rPr>
            </w:r>
            <w:r/>
          </w:p>
          <w:p>
            <w:pPr>
              <w:pStyle w:val="998"/>
              <w:spacing w:line="300" w:lineRule="exact"/>
              <w:widowControl/>
              <w:rPr>
                <w:sz w:val="18"/>
                <w:szCs w:val="18"/>
              </w:rPr>
            </w:pPr>
            <w:r>
              <w:rPr>
                <w:rFonts w:hint="eastAsia"/>
                <w:sz w:val="18"/>
                <w:szCs w:val="18"/>
              </w:rPr>
              <w:t xml:space="preserve">（3）需建立覆盖系统内部信息、外部交换信息、社会发布服务信息的安全保护体系，制定适配风险等级的安全策略、技术手段与管理措施，实现风险、安全与投资的平衡。</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gridSpan w:val="2"/>
            <w:tcW w:w="8412" w:type="dxa"/>
            <w:vAlign w:val="center"/>
            <w:textDirection w:val="lrTb"/>
            <w:noWrap w:val="false"/>
          </w:tcPr>
          <w:p>
            <w:pPr>
              <w:pStyle w:val="998"/>
              <w:jc w:val="center"/>
              <w:spacing w:line="300" w:lineRule="exact"/>
              <w:rPr>
                <w:sz w:val="18"/>
                <w:szCs w:val="18"/>
              </w:rPr>
            </w:pPr>
            <w:r>
              <w:rPr>
                <w:b/>
                <w:bCs/>
                <w:sz w:val="20"/>
                <w:szCs w:val="20"/>
                <w:lang w:bidi="ar"/>
              </w:rPr>
              <w:t xml:space="preserve">二</w:t>
            </w:r>
            <w:r>
              <w:rPr>
                <w:rFonts w:hint="eastAsia"/>
                <w:b/>
                <w:bCs/>
                <w:sz w:val="20"/>
                <w:szCs w:val="20"/>
                <w:lang w:bidi="ar"/>
              </w:rPr>
              <w:t xml:space="preserve">、统一数据采集与交换</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lang w:bidi="ar"/>
              </w:rPr>
              <w:t xml:space="preserve">需支持国产化环境适配与新架构兼容，遵循“标准先行、双轨并行”理念；需涵盖传统中间表与HL7、XDS等国际标准双模式接入，通过服务总线与流程引擎实现消息路由、协议转换及复杂业务逻辑驱动；需支持实时采集、批量同步、跨系统事务处理及数据质量校验功能，配套可视化监控界面实现全链路跟踪；需具备动态配置机制与分布式架构，形成“采集-转换-交换-监控”全周期数据流通管道。</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b/>
                <w:bCs/>
                <w:sz w:val="18"/>
                <w:szCs w:val="18"/>
              </w:rPr>
              <w:t xml:space="preserve">9</w:t>
            </w:r>
            <w:r>
              <w:rPr>
                <w:sz w:val="18"/>
                <w:szCs w:val="18"/>
              </w:rPr>
            </w:r>
            <w:r/>
          </w:p>
        </w:tc>
        <w:tc>
          <w:tcPr>
            <w:tcW w:w="4196" w:type="dxa"/>
            <w:vAlign w:val="center"/>
            <w:textDirection w:val="lrTb"/>
            <w:noWrap w:val="false"/>
          </w:tcPr>
          <w:p>
            <w:pPr>
              <w:pStyle w:val="998"/>
              <w:spacing w:line="300" w:lineRule="exact"/>
              <w:rPr>
                <w:b/>
                <w:bCs/>
                <w:sz w:val="18"/>
                <w:szCs w:val="18"/>
              </w:rPr>
            </w:pPr>
            <w:r>
              <w:rPr>
                <w:rFonts w:hint="eastAsia"/>
                <w:b/>
                <w:bCs/>
                <w:color w:val="000000"/>
                <w:sz w:val="18"/>
                <w:szCs w:val="18"/>
              </w:rPr>
              <w:t xml:space="preserve">数据交换</w:t>
            </w:r>
            <w:r>
              <w:rPr>
                <w:b/>
                <w:bCs/>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实时数据交换：需支持分布式采集、流式计算与数据分发，具备高可靠性与可用性；需涵盖配置管理、采集引擎、转换引擎、分发引擎、日志引擎五大核心功能，支持数据源与目标端管理、交换方案配置及运行监控；需支持 DB、HTTP、SOCKET 等主动 / 被动采集方式，HTTP、DB、SOCKET 等分发方式；需支持 JSON、XML、SOAP 协议互转及数据映射、过滤等转换功能，支持基于 BPM 的可视化拖拽式流程编排与全流程监控，适配检验检查数据汇总、预约挂号整合等实时业务场景。</w:t>
            </w:r>
            <w:r>
              <w:rPr>
                <w:sz w:val="18"/>
                <w:szCs w:val="18"/>
              </w:rPr>
            </w:r>
            <w:r/>
          </w:p>
          <w:p>
            <w:pPr>
              <w:pStyle w:val="998"/>
              <w:spacing w:line="300" w:lineRule="exact"/>
              <w:widowControl/>
              <w:rPr>
                <w:sz w:val="18"/>
                <w:szCs w:val="18"/>
              </w:rPr>
            </w:pPr>
            <w:r>
              <w:rPr>
                <w:rFonts w:hint="eastAsia"/>
                <w:sz w:val="18"/>
                <w:szCs w:val="18"/>
              </w:rPr>
              <w:t xml:space="preserve">（2）批量数据交换：需支持从多类型数据源（关系数据库、共享文档、文件等）抽取、加工、发送数据，及目标节点接收入库；需包含数据交换引擎、配置管理中心、监控中心三大组件，支持常见关系型及部分大数据数据库脚本执行；需具备集中式可视化配置功能，支持按业务类型与机构规模设置差异化调度方案；需提供全流程监控与多维度报警机制，支持数据传输加密 / 解密、离线自动重传，适配集中式与分布式部署模式。</w:t>
            </w:r>
            <w:r>
              <w:rPr>
                <w:sz w:val="18"/>
                <w:szCs w:val="18"/>
              </w:rPr>
            </w:r>
            <w:r/>
          </w:p>
          <w:p>
            <w:pPr>
              <w:pStyle w:val="998"/>
              <w:spacing w:line="300" w:lineRule="exact"/>
              <w:widowControl/>
              <w:rPr>
                <w:sz w:val="18"/>
                <w:szCs w:val="18"/>
              </w:rPr>
            </w:pPr>
            <w:r>
              <w:rPr>
                <w:rFonts w:hint="eastAsia"/>
                <w:sz w:val="18"/>
                <w:szCs w:val="18"/>
              </w:rPr>
              <w:t xml:space="preserve">（3）数据填报：需支持非自动采集类数据的人工填报，涵盖指标、机构、用户、角色的可视化配置管理；需支持填报指标与计算因子自定义，可通过计算表达式重组复杂指标计算公式；需具备按业务分类与时间粒度的指标填报功能，支持基于权限自动组装填报表单；需包含漏填报预警、数据质控、分级审核及信息统计功能，实现填报数据流程化审批。</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数据交换内容</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sz w:val="18"/>
                <w:szCs w:val="18"/>
              </w:rPr>
              <w:t xml:space="preserve">（1）需支持居民基本数据（卡号、姓名、身份证号等）、电子病历数据（门诊 / 急诊记录、处方明细、检验检查信息等）、健康档案数据（个人健康档案、健康服务记录、慢病管理信息等）的全面交换，确保数据覆盖完整、字段无遗漏。</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数据采集标准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（1）需支持传统中间表与江苏省健康信息平台共享数据集、编码标准多种方式采集传输；</w:t>
            </w:r>
            <w:r>
              <w:rPr>
                <w:sz w:val="18"/>
                <w:szCs w:val="18"/>
              </w:rPr>
            </w:r>
            <w:r/>
          </w:p>
          <w:p>
            <w:pPr>
              <w:pStyle w:val="998"/>
              <w:spacing w:line="300" w:lineRule="exact"/>
              <w:widowControl/>
              <w:rPr>
                <w:sz w:val="18"/>
                <w:szCs w:val="18"/>
              </w:rPr>
            </w:pPr>
            <w:r>
              <w:rPr>
                <w:rFonts w:hint="eastAsia"/>
                <w:sz w:val="18"/>
                <w:szCs w:val="18"/>
              </w:rPr>
              <w:t xml:space="preserve">（2）需适配不同接入条件的医疗卫生机构，对符合省标接入条件的采用标准采集方式，对暂不符合的采用传统采集方式，保障数据采集的兼容性与规范性。</w:t>
            </w:r>
            <w:r>
              <w:rPr>
                <w:sz w:val="18"/>
                <w:szCs w:val="18"/>
              </w:rPr>
            </w:r>
            <w:r/>
          </w:p>
          <w:p>
            <w:pPr>
              <w:pStyle w:val="998"/>
              <w:spacing w:line="300" w:lineRule="exact"/>
              <w:widowControl/>
              <w:rPr>
                <w:sz w:val="18"/>
                <w:szCs w:val="18"/>
              </w:rPr>
            </w:pPr>
            <w:r>
              <w:rPr>
                <w:rFonts w:hint="eastAsia"/>
                <w:sz w:val="18"/>
                <w:szCs w:val="18"/>
              </w:rPr>
              <w:t xml:space="preserve">（3）交换内容范围不局限于2025.9印发的《智慧健康核心数据集采集方案》（医院版）</w:t>
            </w:r>
            <w:r>
              <w:rPr>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b/>
                <w:bCs/>
                <w:color w:val="000000"/>
                <w:sz w:val="18"/>
                <w:szCs w:val="18"/>
              </w:rPr>
              <w:t xml:space="preserve">12</w:t>
            </w:r>
            <w:r>
              <w:rPr>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数据质量控制</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（1）需接入短信平台，支持按配置实现数据上传情况的分级通知；</w:t>
            </w:r>
            <w:r>
              <w:rPr>
                <w:sz w:val="18"/>
                <w:szCs w:val="18"/>
              </w:rPr>
            </w:r>
            <w:r/>
          </w:p>
          <w:p>
            <w:pPr>
              <w:pStyle w:val="998"/>
              <w:spacing w:line="300" w:lineRule="exact"/>
              <w:widowControl/>
              <w:rPr>
                <w:sz w:val="18"/>
                <w:szCs w:val="18"/>
              </w:rPr>
            </w:pPr>
            <w:r>
              <w:rPr>
                <w:rFonts w:hint="eastAsia"/>
                <w:sz w:val="18"/>
                <w:szCs w:val="18"/>
              </w:rPr>
              <w:t xml:space="preserve">（2）需具备数据质量信息汇总、梳理、统计及分析功能，可自动生成周报，为管理人员提供全面数据质量报告，支持月度与年度总结使用。</w:t>
            </w:r>
            <w:r>
              <w:rPr>
                <w:sz w:val="18"/>
                <w:szCs w:val="18"/>
              </w:rPr>
            </w:r>
            <w:r/>
          </w:p>
          <w:p>
            <w:pPr>
              <w:pStyle w:val="1010"/>
              <w:ind w:firstLine="0"/>
              <w:rPr>
                <w:rFonts w:hint="eastAsia"/>
                <w:b/>
                <w:bCs/>
                <w:sz w:val="18"/>
                <w:szCs w:val="18"/>
                <w:lang w:eastAsia="zh-CN"/>
              </w:rPr>
            </w:pPr>
            <w:r>
              <w:rPr>
                <w:rFonts w:hint="eastAsia"/>
                <w:b/>
                <w:bCs/>
                <w:sz w:val="18"/>
                <w:szCs w:val="18"/>
                <w:lang w:eastAsia="zh-CN"/>
              </w:rPr>
              <w:t xml:space="preserve">注：须提供信息系统功能截图佐证，不提供不得分。</w:t>
            </w:r>
            <w:r>
              <w:rPr>
                <w:rFonts w:hint="eastAsia"/>
                <w:b/>
                <w:bCs/>
                <w:sz w:val="18"/>
                <w:szCs w:val="18"/>
                <w:lang w:eastAsia="zh-CN"/>
              </w:rPr>
            </w:r>
            <w:r/>
          </w:p>
        </w:tc>
        <w:tc>
          <w:tcPr>
            <w:tcW w:w="413" w:type="dxa"/>
            <w:vAlign w:val="center"/>
            <w:textDirection w:val="lrTb"/>
            <w:noWrap w:val="false"/>
          </w:tcPr>
          <w:p>
            <w:pPr>
              <w:pStyle w:val="998"/>
              <w:jc w:val="center"/>
              <w:spacing w:line="300" w:lineRule="exact"/>
              <w:widowControl/>
              <w:rPr>
                <w:sz w:val="18"/>
                <w:szCs w:val="18"/>
              </w:rPr>
            </w:pPr>
            <w:r>
              <w:rPr>
                <w:rFonts w:eastAsia="仿宋"/>
                <w:color w:val="000000"/>
                <w:sz w:val="20"/>
              </w:rPr>
              <w:t xml:space="preserve">▲</w:t>
            </w: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三、健康信息资源中心</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需支持国产化环境适配与新架构兼容，构建整合医疗知识、全员人口信息、健康档案及电子病历的综合性信息资源中心；需通过规则引擎、数据模型及关联索引技术，实现多源健康数据统一存储、关联</w:t>
            </w:r>
            <w:r>
              <w:rPr>
                <w:rFonts w:hint="eastAsia"/>
                <w:sz w:val="18"/>
                <w:szCs w:val="18"/>
              </w:rPr>
              <w:t xml:space="preserve">分析</w:t>
            </w:r>
            <w:r>
              <w:rPr>
                <w:rFonts w:hint="eastAsia"/>
                <w:sz w:val="18"/>
                <w:szCs w:val="18"/>
                <w:lang w:bidi="ar"/>
              </w:rPr>
              <w:t xml:space="preserve">及知识化应用；需为临床决策、公共卫生管理及科研教学提供结构化数据支撑。</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13</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医疗知识库</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（1）需存储和管理智慧医疗各类业务规则与知识，涵盖健康摘要及问题提醒、历史电子病历提醒、重复医疗行为提醒（重复用药/检验/检查）、智能医疗提醒、科研教学提醒规则库及卫生资源库；</w:t>
            </w:r>
            <w:r>
              <w:rPr>
                <w:sz w:val="18"/>
                <w:szCs w:val="18"/>
              </w:rPr>
            </w:r>
            <w:r/>
          </w:p>
          <w:p>
            <w:pPr>
              <w:pStyle w:val="998"/>
              <w:spacing w:line="300" w:lineRule="exact"/>
              <w:widowControl/>
              <w:rPr>
                <w:sz w:val="18"/>
                <w:szCs w:val="18"/>
              </w:rPr>
            </w:pPr>
            <w:r>
              <w:rPr>
                <w:rFonts w:hint="eastAsia"/>
                <w:sz w:val="18"/>
                <w:szCs w:val="18"/>
              </w:rPr>
              <w:t xml:space="preserve">（2）需预留扩展模块，支撑未来新增业务协同、联动及智慧医疗服务相关规则；</w:t>
            </w:r>
            <w:r>
              <w:rPr>
                <w:sz w:val="18"/>
                <w:szCs w:val="18"/>
              </w:rPr>
            </w:r>
            <w:r/>
          </w:p>
          <w:p>
            <w:pPr>
              <w:pStyle w:val="998"/>
              <w:spacing w:line="300" w:lineRule="exact"/>
              <w:widowControl/>
              <w:rPr>
                <w:b/>
                <w:bCs/>
                <w:color w:val="000000"/>
                <w:sz w:val="18"/>
                <w:szCs w:val="18"/>
              </w:rPr>
            </w:pPr>
            <w:r>
              <w:rPr>
                <w:rFonts w:hint="eastAsia"/>
                <w:sz w:val="18"/>
                <w:szCs w:val="18"/>
              </w:rPr>
              <w:t xml:space="preserve">（3）需整合多业务系统数据形成规则引擎，为各业务系统提供服务并实现各类业务联动。</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14</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全员人口信息库</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（1）需以省级全员人口管理系统数据为主要来源，涵盖人口学、社会经济学基础信息及出生登记、死亡登记等信息； </w:t>
            </w:r>
            <w:r>
              <w:rPr>
                <w:sz w:val="18"/>
                <w:szCs w:val="18"/>
              </w:rPr>
            </w:r>
            <w:r/>
          </w:p>
          <w:p>
            <w:pPr>
              <w:pStyle w:val="998"/>
              <w:spacing w:line="300" w:lineRule="exact"/>
              <w:widowControl/>
              <w:rPr>
                <w:sz w:val="18"/>
                <w:szCs w:val="18"/>
              </w:rPr>
            </w:pPr>
            <w:r>
              <w:rPr>
                <w:rFonts w:hint="eastAsia"/>
                <w:sz w:val="18"/>
                <w:szCs w:val="18"/>
              </w:rPr>
              <w:t xml:space="preserve">（2）需支持时间与信息类二维架构，包含人口死亡、出生、新农合、基础信息四大核心内容； </w:t>
            </w:r>
            <w:r>
              <w:rPr>
                <w:sz w:val="18"/>
                <w:szCs w:val="18"/>
              </w:rPr>
            </w:r>
            <w:r/>
          </w:p>
          <w:p>
            <w:pPr>
              <w:pStyle w:val="998"/>
              <w:spacing w:line="300" w:lineRule="exact"/>
              <w:widowControl/>
              <w:rPr>
                <w:sz w:val="18"/>
                <w:szCs w:val="18"/>
              </w:rPr>
            </w:pPr>
            <w:r>
              <w:rPr>
                <w:rFonts w:hint="eastAsia"/>
                <w:sz w:val="18"/>
                <w:szCs w:val="18"/>
              </w:rPr>
              <w:t xml:space="preserve">（3）需适配多来源数据接入（疾病监控、妇幼保健、新农合、公安人口信息系统等）；</w:t>
            </w:r>
            <w:r>
              <w:rPr>
                <w:sz w:val="18"/>
                <w:szCs w:val="18"/>
              </w:rPr>
            </w:r>
            <w:r/>
          </w:p>
          <w:p>
            <w:pPr>
              <w:pStyle w:val="998"/>
              <w:spacing w:line="300" w:lineRule="exact"/>
              <w:widowControl/>
              <w:rPr>
                <w:sz w:val="18"/>
                <w:szCs w:val="18"/>
              </w:rPr>
            </w:pPr>
            <w:r>
              <w:rPr>
                <w:rFonts w:hint="eastAsia"/>
                <w:sz w:val="18"/>
                <w:szCs w:val="18"/>
              </w:rPr>
              <w:t xml:space="preserve">（4）需遵循国家相关标准，统一数据结构、分类代码、表名称及数据项名称；</w:t>
            </w:r>
            <w:r>
              <w:rPr>
                <w:sz w:val="18"/>
                <w:szCs w:val="18"/>
              </w:rPr>
            </w:r>
            <w:r/>
          </w:p>
          <w:p>
            <w:pPr>
              <w:pStyle w:val="998"/>
              <w:spacing w:line="300" w:lineRule="exact"/>
              <w:widowControl/>
              <w:rPr>
                <w:sz w:val="18"/>
                <w:szCs w:val="18"/>
              </w:rPr>
            </w:pPr>
            <w:r>
              <w:rPr>
                <w:rFonts w:hint="eastAsia"/>
                <w:sz w:val="18"/>
                <w:szCs w:val="18"/>
              </w:rPr>
              <w:t xml:space="preserve">（5）需构建包含人口基础信息、公共信息、专用信息的三层数据模型，支持数据转换、清洗与加载。</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15</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健康档案库</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（1）需涵盖个人基本信息、主要疾病和健康问题摘要、儿童保健、妇女保健、疾病控制、疾病管理、医疗服务七大信息域； </w:t>
            </w:r>
            <w:r>
              <w:rPr>
                <w:sz w:val="18"/>
                <w:szCs w:val="18"/>
              </w:rPr>
            </w:r>
            <w:r/>
          </w:p>
          <w:p>
            <w:pPr>
              <w:pStyle w:val="998"/>
              <w:spacing w:line="300" w:lineRule="exact"/>
              <w:widowControl/>
              <w:rPr>
                <w:sz w:val="18"/>
                <w:szCs w:val="18"/>
              </w:rPr>
            </w:pPr>
            <w:r>
              <w:rPr>
                <w:rFonts w:hint="eastAsia"/>
                <w:sz w:val="18"/>
                <w:szCs w:val="18"/>
              </w:rPr>
              <w:t xml:space="preserve">（2）需与居民 EMPI 有效关联，形成以居民为中心的全程健康档案管理与服务； </w:t>
            </w:r>
            <w:r>
              <w:rPr>
                <w:sz w:val="18"/>
                <w:szCs w:val="18"/>
              </w:rPr>
            </w:r>
            <w:r/>
          </w:p>
          <w:p>
            <w:pPr>
              <w:pStyle w:val="998"/>
              <w:spacing w:line="300" w:lineRule="exact"/>
              <w:widowControl/>
              <w:rPr>
                <w:sz w:val="18"/>
                <w:szCs w:val="18"/>
              </w:rPr>
            </w:pPr>
            <w:r>
              <w:rPr>
                <w:rFonts w:hint="eastAsia"/>
                <w:sz w:val="18"/>
                <w:szCs w:val="18"/>
              </w:rPr>
              <w:t xml:space="preserve">（3）需支持接收区域妇幼机构、省妇幼健康信息系统、CDC、市县级平台等多渠道数据；</w:t>
            </w:r>
            <w:r>
              <w:rPr>
                <w:sz w:val="18"/>
                <w:szCs w:val="18"/>
              </w:rPr>
            </w:r>
            <w:r/>
          </w:p>
          <w:p>
            <w:pPr>
              <w:pStyle w:val="998"/>
              <w:spacing w:line="300" w:lineRule="exact"/>
              <w:widowControl/>
              <w:rPr>
                <w:sz w:val="18"/>
                <w:szCs w:val="18"/>
              </w:rPr>
            </w:pPr>
            <w:r>
              <w:rPr>
                <w:rFonts w:hint="eastAsia"/>
                <w:sz w:val="18"/>
                <w:szCs w:val="18"/>
              </w:rPr>
              <w:t xml:space="preserve">（4）需包含临床检验检查报告、用药信息、住院病案首页等核心医疗服务数据。</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16</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电子病历库</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（1）需存储居民医疗行为过程数据，涵盖诊疗信息（诊断、处方、检验 / 检查结果、住院病案、出院小结等），不含影像图像存储； </w:t>
            </w:r>
            <w:r>
              <w:rPr>
                <w:sz w:val="18"/>
                <w:szCs w:val="18"/>
              </w:rPr>
            </w:r>
            <w:r/>
          </w:p>
          <w:p>
            <w:pPr>
              <w:pStyle w:val="998"/>
              <w:spacing w:line="300" w:lineRule="exact"/>
              <w:widowControl/>
              <w:rPr>
                <w:sz w:val="18"/>
                <w:szCs w:val="18"/>
              </w:rPr>
            </w:pPr>
            <w:r>
              <w:rPr>
                <w:rFonts w:hint="eastAsia"/>
                <w:sz w:val="18"/>
                <w:szCs w:val="18"/>
              </w:rPr>
              <w:t xml:space="preserve">（2）需包含病历概要、门（急）诊 / 住院诊疗记录、健康体检记录、转诊（院）记录、法定医学证明及报告、医疗机构信息等； </w:t>
            </w:r>
            <w:r>
              <w:rPr>
                <w:sz w:val="18"/>
                <w:szCs w:val="18"/>
              </w:rPr>
            </w:r>
            <w:r/>
          </w:p>
          <w:p>
            <w:pPr>
              <w:pStyle w:val="998"/>
              <w:spacing w:line="300" w:lineRule="exact"/>
              <w:widowControl/>
              <w:rPr>
                <w:sz w:val="18"/>
                <w:szCs w:val="18"/>
              </w:rPr>
            </w:pPr>
            <w:r>
              <w:rPr>
                <w:rFonts w:hint="eastAsia"/>
                <w:sz w:val="18"/>
                <w:szCs w:val="18"/>
              </w:rPr>
              <w:t xml:space="preserve">（3）需与居民 EMPI 有效关联，形成以居民为中心的全程医疗服务记录；</w:t>
            </w:r>
            <w:r>
              <w:rPr>
                <w:sz w:val="18"/>
                <w:szCs w:val="18"/>
              </w:rPr>
            </w:r>
            <w:r/>
          </w:p>
          <w:p>
            <w:pPr>
              <w:pStyle w:val="998"/>
              <w:spacing w:line="300" w:lineRule="exact"/>
              <w:widowControl/>
              <w:rPr>
                <w:sz w:val="18"/>
                <w:szCs w:val="18"/>
              </w:rPr>
            </w:pPr>
            <w:r>
              <w:rPr>
                <w:rFonts w:hint="eastAsia"/>
                <w:sz w:val="18"/>
                <w:szCs w:val="18"/>
              </w:rPr>
              <w:t xml:space="preserve">（4）需遵循《病历书写基本规范》，涵盖门（急）诊与住院电子病历基本内容；</w:t>
            </w:r>
            <w:r>
              <w:rPr>
                <w:sz w:val="18"/>
                <w:szCs w:val="18"/>
              </w:rPr>
            </w:r>
            <w:r/>
          </w:p>
          <w:p>
            <w:pPr>
              <w:pStyle w:val="998"/>
              <w:spacing w:line="300" w:lineRule="exact"/>
              <w:widowControl/>
              <w:rPr>
                <w:rFonts w:hint="eastAsia"/>
                <w:b/>
                <w:bCs/>
              </w:rPr>
            </w:pPr>
            <w:r>
              <w:rPr>
                <w:rFonts w:hint="eastAsia"/>
                <w:b/>
                <w:bCs/>
                <w:sz w:val="18"/>
                <w:szCs w:val="18"/>
              </w:rPr>
              <w:t xml:space="preserve">注：须提供信息系统功能截图佐证，不提供不得分。</w:t>
            </w:r>
            <w:r>
              <w:rPr>
                <w:rFonts w:hint="eastAsia"/>
                <w:b/>
                <w:bCs/>
              </w:rPr>
            </w:r>
            <w:r/>
          </w:p>
        </w:tc>
        <w:tc>
          <w:tcPr>
            <w:tcW w:w="413" w:type="dxa"/>
            <w:vAlign w:val="center"/>
            <w:textDirection w:val="lrTb"/>
            <w:noWrap w:val="false"/>
          </w:tcPr>
          <w:p>
            <w:pPr>
              <w:pStyle w:val="998"/>
              <w:spacing w:after="120" w:line="300" w:lineRule="exact"/>
              <w:rPr>
                <w:b/>
                <w:bCs/>
                <w:color w:val="000000"/>
                <w:sz w:val="18"/>
                <w:szCs w:val="18"/>
              </w:rPr>
            </w:pPr>
            <w:r>
              <w:rPr>
                <w:rFonts w:eastAsia="仿宋"/>
                <w:color w:val="000000"/>
                <w:sz w:val="20"/>
              </w:rPr>
              <w:t xml:space="preserve">▲</w:t>
            </w: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四、统一单点登录与权限管理</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需支持国产化环境适配与新架构兼容，构建集中化、细粒度的用户认证与授权管理体系；需通过SSO技术、角色-权限模型及分级授权机制，实现跨系统用户身份统一管理、访问权限精准控制及操作行为全程审计；需平衡系统安全与用户体验，支持用户一次注册、多系统免重复登录。</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17</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sz w:val="18"/>
                <w:szCs w:val="18"/>
              </w:rPr>
              <w:t xml:space="preserve">单点登录</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（1）需支持管理员操作的帐户与应用系统结盟管理及结盟关系撤消功能；需涵盖应用系统联盟加入、退出的全生命周期管理； </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（2）需实现集中式权限控制与身份验证，支持任意粒度资源权限配置； </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（3）需具备加密用户凭证管理功能，保障会话凭证的保密性、完整性与不可抵赖性，支持会话创建、有效验证及退出注销；</w:t>
            </w:r>
            <w:r>
              <w:rPr>
                <w:sz w:val="18"/>
                <w:szCs w:val="18"/>
                <w:lang w:bidi="ar"/>
              </w:rPr>
            </w:r>
            <w:r/>
          </w:p>
          <w:p>
            <w:pPr>
              <w:pStyle w:val="998"/>
              <w:spacing w:line="300" w:lineRule="exact"/>
              <w:widowControl/>
              <w:rPr>
                <w:b/>
                <w:bCs/>
                <w:color w:val="000000"/>
                <w:sz w:val="18"/>
                <w:szCs w:val="18"/>
              </w:rPr>
            </w:pPr>
            <w:r>
              <w:rPr>
                <w:rFonts w:hint="eastAsia"/>
                <w:sz w:val="18"/>
                <w:szCs w:val="18"/>
                <w:lang w:bidi="ar"/>
              </w:rPr>
              <w:t xml:space="preserve">（4）需提供开放的 API 接口，支持应用系统灵活集成。</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18</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统一授权</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（1）代理认证：需实现全民健康信息平台业务系统用户统一管控与平台帐户映射，由平台权限系统集中管理。</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身份鉴别：需保证系统用户身份标识唯一性，支持用户身份标识与鉴别，支持口令长度、复杂性要求及定期更新机制，采用两种及以上组合鉴别技术，具备登录失败处理、鉴别警示功能，需及时清除存储空间中动态使用的鉴别信息。</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用户管理：需提供可扩展的统一身份认证框架，支持静态口令、数字证书认证及动态口令等扩展认证方式；静态口令需支持失败登录尝试最大次数限制与惩罚性锁定机制，支持生成加密的全系统有效用户令牌；需支持十万级用户量管理，提供灵活可扩展的用户信息存储与维护查询功能；需支持用户信息扩展及与遗留系统用户账号映射、信息同步功能；需支持单一及多组织机构树的组织节点业务关系管理。</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4）角色管理：需实现基于角色的访问控制机制，遵循职责分离与最少权限原则；需预定义系统管理员、安全管理员、安全审计员角色，明确角色职责边界，实现角色间相互制约与监督；需保障系统管理员无未授权资源访问权限，安全管理员仅负责授权与安全策略制定，安全审计员专注访问记录查看与审计。</w:t>
            </w:r>
            <w:r>
              <w:rPr>
                <w:sz w:val="18"/>
                <w:szCs w:val="18"/>
                <w:lang w:bidi="ar"/>
              </w:rPr>
            </w:r>
            <w:r/>
          </w:p>
          <w:p>
            <w:pPr>
              <w:pStyle w:val="998"/>
              <w:spacing w:line="300" w:lineRule="exact"/>
              <w:widowControl/>
              <w:rPr>
                <w:sz w:val="18"/>
                <w:szCs w:val="18"/>
              </w:rPr>
            </w:pPr>
            <w:r>
              <w:rPr>
                <w:rFonts w:hint="eastAsia"/>
                <w:sz w:val="18"/>
                <w:szCs w:val="18"/>
                <w:lang w:bidi="ar"/>
              </w:rPr>
              <w:t xml:space="preserve">（5）授权管理：需对内提供系统权限配置功能，对外提供权限验证接口，支持基于角色与自主访问控制标准；需实现个人级、文件类别级、文件级、居民自定义保护级四级保护机制，支持功能、菜单、页面元素、数据等多粒度资源授权；需支持多应用</w:t>
            </w:r>
            <w:r>
              <w:rPr>
                <w:rFonts w:hint="eastAsia"/>
                <w:sz w:val="18"/>
                <w:szCs w:val="18"/>
              </w:rPr>
              <w:t xml:space="preserve">系统资源接入统一管理与分级授权，管理员仅具备赋权权限而无操作权限；需支持管理员权限分级管控，超级管理员可新增下级管理员并指派用户，高级别管理员可向下授权。</w:t>
            </w:r>
            <w:r>
              <w:rPr>
                <w:sz w:val="18"/>
                <w:szCs w:val="18"/>
              </w:rPr>
            </w:r>
            <w:r/>
          </w:p>
          <w:p>
            <w:pPr>
              <w:pStyle w:val="998"/>
              <w:spacing w:line="300" w:lineRule="exact"/>
              <w:widowControl/>
              <w:rPr>
                <w:sz w:val="18"/>
                <w:szCs w:val="18"/>
              </w:rPr>
            </w:pPr>
            <w:r>
              <w:rPr>
                <w:rFonts w:hint="eastAsia"/>
                <w:sz w:val="18"/>
                <w:szCs w:val="18"/>
              </w:rPr>
              <w:t xml:space="preserve">（6）访问控制：需依据安全策略控制用户对客体的访问，自主访问控制覆盖主体、客体及相关操作；需支持界面层、服务层权限配置控制，提供访问控制接口，支持批量资源权限一次性判断。</w:t>
            </w:r>
            <w:r>
              <w:rPr>
                <w:sz w:val="18"/>
                <w:szCs w:val="18"/>
              </w:rPr>
            </w:r>
            <w:r/>
          </w:p>
          <w:p>
            <w:pPr>
              <w:pStyle w:val="998"/>
              <w:spacing w:line="300" w:lineRule="exact"/>
              <w:widowControl/>
              <w:rPr>
                <w:sz w:val="18"/>
                <w:szCs w:val="18"/>
              </w:rPr>
            </w:pPr>
            <w:r>
              <w:rPr>
                <w:rFonts w:hint="eastAsia"/>
                <w:sz w:val="18"/>
                <w:szCs w:val="18"/>
              </w:rPr>
              <w:t xml:space="preserve">（7）安全审计：需实现全用户覆盖的安全审计，记录应用系统重要的安全相关事件；安全审计可以根据记录数据进行分析；需支持审计数据统计分析、审计报表生成及特定事件实时报警（多方式通知）；需保障审计进程不被未预期中断，审计记录不被未预期删除、修改或覆盖；需采用分布式架构，支持日志格式标准化转换、中央存储、审计策略定义、代理管理及远程监控功能。</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五、卫生标准管理服务</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需支持国产化环境适配与新架构兼容，构建覆盖数据规范、业务功能、应用接口及安全技术的标准化管理体系；需通过标准制定、实施及监督机制，消除信息孤岛，推动区域卫生数据资源整合共享；需支撑《南通市全民健康信息平台应用白皮书》构建，实现平台从技术底座到服务输出的全链条规范化运行，提升信息化建设的规范性与协同性。</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rFonts w:hint="eastAsia"/>
                <w:b/>
                <w:bCs/>
                <w:sz w:val="18"/>
                <w:szCs w:val="18"/>
              </w:rPr>
              <w:t xml:space="preserve">1</w:t>
            </w:r>
            <w:r>
              <w:rPr>
                <w:b/>
                <w:bCs/>
                <w:sz w:val="18"/>
                <w:szCs w:val="18"/>
              </w:rPr>
              <w:t xml:space="preserve">9</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标准管理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（1）基础标准数据管理：需支持维护标准类型、标准来源、数据元类型、机构和字段类型等基础信息。</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（2）标准类型设置：需支持维护标准的一级分类、二级分类及其代码，支持新增、提交、导入和导出。</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（3）标准来源设置：需支持维护标准的来源并编码，例如国家技术监督局、国家标准局等，支持新增、提交、导入和导出。</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（4）数据类型设置：需支持设置数据类型和代码，例如日期时间型、数值型。</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（5）机构设置：需支持维护标准发布的机构。</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（6）字段类型设置：需支持设置字段类型、代码和名称。</w:t>
            </w:r>
            <w:r>
              <w:rPr>
                <w:sz w:val="18"/>
                <w:szCs w:val="18"/>
                <w:lang w:bidi="ar"/>
              </w:rPr>
            </w:r>
            <w:r/>
          </w:p>
          <w:p>
            <w:pPr>
              <w:pStyle w:val="998"/>
              <w:spacing w:line="300" w:lineRule="exact"/>
              <w:widowControl/>
              <w:rPr>
                <w:b/>
                <w:bCs/>
                <w:color w:val="000000"/>
                <w:sz w:val="18"/>
                <w:szCs w:val="18"/>
              </w:rPr>
            </w:pPr>
            <w:r>
              <w:rPr>
                <w:rFonts w:hint="eastAsia"/>
                <w:sz w:val="18"/>
                <w:szCs w:val="18"/>
                <w:lang w:bidi="ar"/>
              </w:rPr>
              <w:t xml:space="preserve">（7）数据元维护：需支持建立数据元目录、设置数据类型和维护数据元。</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rFonts w:hint="eastAsia"/>
                <w:b/>
                <w:bCs/>
                <w:color w:val="000000"/>
                <w:sz w:val="18"/>
                <w:szCs w:val="18"/>
              </w:rPr>
              <w:t xml:space="preserve">2</w:t>
            </w:r>
            <w:r>
              <w:rPr>
                <w:b/>
                <w:bCs/>
                <w:color w:val="000000"/>
                <w:sz w:val="18"/>
                <w:szCs w:val="18"/>
              </w:rPr>
              <w:t xml:space="preserve">0</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数据集管理</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（1）字典管理：需支持维护字典名称及其标识符。</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（2）字典值域管理：需支持对字典对应的值域进行维护。</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（3）数据集目录配置：需支持建立多级数据集目录。</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（4）数据集设置：需支持在目录下建立数据集并配置数据元。</w:t>
            </w:r>
            <w:r>
              <w:rPr>
                <w:sz w:val="18"/>
                <w:szCs w:val="18"/>
                <w:lang w:bidi="ar"/>
              </w:rPr>
            </w:r>
            <w:r/>
          </w:p>
          <w:p>
            <w:pPr>
              <w:pStyle w:val="1010"/>
              <w:ind w:firstLine="0"/>
              <w:rPr>
                <w:rFonts w:hint="eastAsia"/>
                <w:b/>
                <w:bCs/>
                <w:sz w:val="18"/>
                <w:szCs w:val="18"/>
                <w:lang w:eastAsia="zh-CN" w:bidi="ar"/>
              </w:rPr>
            </w:pPr>
            <w:r>
              <w:rPr>
                <w:rFonts w:hint="eastAsia"/>
                <w:b/>
                <w:bCs/>
                <w:sz w:val="18"/>
                <w:szCs w:val="18"/>
                <w:lang w:eastAsia="zh-CN" w:bidi="ar"/>
              </w:rPr>
              <w:t xml:space="preserve">注：须提供信息系统功能截图佐证，不提供不得分。</w:t>
            </w:r>
            <w:r>
              <w:rPr>
                <w:rFonts w:hint="eastAsia"/>
                <w:b/>
                <w:bCs/>
                <w:sz w:val="18"/>
                <w:szCs w:val="18"/>
                <w:lang w:eastAsia="zh-CN" w:bidi="ar"/>
              </w:rPr>
            </w:r>
            <w:r/>
          </w:p>
        </w:tc>
        <w:tc>
          <w:tcPr>
            <w:tcW w:w="413" w:type="dxa"/>
            <w:vAlign w:val="center"/>
            <w:textDirection w:val="lrTb"/>
            <w:noWrap w:val="false"/>
          </w:tcPr>
          <w:p>
            <w:pPr>
              <w:pStyle w:val="998"/>
              <w:jc w:val="center"/>
              <w:spacing w:after="120" w:line="300" w:lineRule="exact"/>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21</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数据服务管理</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（1）标准文档：需支持以附件形式上传和维护标准文档，并提供附件下载功能。</w:t>
            </w:r>
            <w:r>
              <w:rPr>
                <w:sz w:val="18"/>
                <w:szCs w:val="18"/>
                <w:lang w:bidi="ar"/>
              </w:rPr>
            </w:r>
            <w:r/>
          </w:p>
          <w:p>
            <w:pPr>
              <w:pStyle w:val="998"/>
              <w:spacing w:line="300" w:lineRule="exact"/>
              <w:widowControl/>
              <w:rPr>
                <w:sz w:val="18"/>
                <w:szCs w:val="18"/>
              </w:rPr>
            </w:pPr>
            <w:r>
              <w:rPr>
                <w:rFonts w:hint="eastAsia"/>
                <w:sz w:val="18"/>
                <w:szCs w:val="18"/>
                <w:lang w:bidi="ar"/>
              </w:rPr>
              <w:t xml:space="preserve">（2）白皮书管理：需全面覆盖平台标准体系构建与服务规范落地，既要聚焦平台自身标准的完善与优化，从数据接口、技术架构、安全规范等基础层面确立统一准则。</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六、健康档案共享调阅</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需支持国产化环境适配与新架构兼容，构建多角色、多场景的健康档案共享与调阅服务体系；需通过浏览器工具、调阅控制机制及安全策略，支持医生、居民及管理者按权限调阅全生命周期健康信息；需实现跨机构档案便捷访问与隐私保护的平衡。</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22</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共享展示</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274"/>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rPr>
              <w:t xml:space="preserve">（</w:t>
            </w:r>
            <w:r>
              <w:rPr>
                <w:rFonts w:hint="eastAsia"/>
                <w:sz w:val="18"/>
                <w:szCs w:val="18"/>
                <w:lang w:bidi="ar"/>
              </w:rPr>
              <w:t xml:space="preserve">1）医院端展示：需支持 EHR 浏览器嵌套于医院内部 CIS 或 HIS 系统的集成方式，减少对现有诊疗流程的干扰；需针对医生就诊习惯与患者重点健康状况设计首页内容，按健康档案三维模型及健康事件组织展示内容。</w:t>
            </w:r>
            <w:r>
              <w:rPr>
                <w:sz w:val="18"/>
                <w:szCs w:val="18"/>
                <w:lang w:bidi="ar"/>
              </w:rPr>
            </w:r>
            <w:r/>
          </w:p>
          <w:p>
            <w:pPr>
              <w:pStyle w:val="998"/>
              <w:spacing w:line="300" w:lineRule="exact"/>
              <w:widowControl/>
              <w:rPr>
                <w:sz w:val="18"/>
                <w:szCs w:val="18"/>
              </w:rPr>
            </w:pPr>
            <w:r>
              <w:rPr>
                <w:rFonts w:hint="eastAsia"/>
                <w:sz w:val="18"/>
                <w:szCs w:val="18"/>
                <w:lang w:bidi="ar"/>
              </w:rPr>
              <w:t xml:space="preserve">（2）中心端展示：需支持个案查询与综合数据分析展示视图；支持采用 B/S 架构开发健康档案信息浏览界面。</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rFonts w:hint="eastAsia"/>
                <w:b/>
                <w:bCs/>
                <w:color w:val="000000"/>
                <w:sz w:val="18"/>
                <w:szCs w:val="18"/>
              </w:rPr>
              <w:t xml:space="preserve">2</w:t>
            </w:r>
            <w:r>
              <w:rPr>
                <w:b/>
                <w:bCs/>
                <w:color w:val="000000"/>
                <w:sz w:val="18"/>
                <w:szCs w:val="18"/>
              </w:rPr>
              <w:t xml:space="preserve">3</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调阅控制</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（1）需支持依托医院本地 HIS 系统进行权限控制，中心系统将患者资料调至前置机缓冲区后，由医院内部医生工作站完成后续调阅操作； </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24</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调阅安全控制</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rPr>
              <w:t xml:space="preserve">（1）需支持居民签</w:t>
            </w:r>
            <w:r>
              <w:rPr>
                <w:rFonts w:hint="eastAsia"/>
                <w:sz w:val="18"/>
                <w:szCs w:val="18"/>
                <w:lang w:bidi="ar"/>
              </w:rPr>
              <w:t xml:space="preserve">约授信方式保障个人健康信息安全； </w:t>
            </w:r>
            <w:r>
              <w:rPr>
                <w:sz w:val="18"/>
                <w:szCs w:val="18"/>
                <w:lang w:bidi="ar"/>
              </w:rPr>
            </w:r>
            <w:r/>
          </w:p>
          <w:p>
            <w:pPr>
              <w:pStyle w:val="998"/>
              <w:spacing w:line="300" w:lineRule="exact"/>
              <w:widowControl/>
              <w:rPr>
                <w:sz w:val="18"/>
                <w:szCs w:val="18"/>
              </w:rPr>
            </w:pPr>
            <w:r>
              <w:rPr>
                <w:rFonts w:hint="eastAsia"/>
                <w:sz w:val="18"/>
                <w:szCs w:val="18"/>
                <w:lang w:bidi="ar"/>
              </w:rPr>
              <w:t xml:space="preserve">（2）需针对不同调阅用户类型，提供差异化的调阅安全控制措施。</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25</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健康档案浏览器</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（1）需提供基于 web 的健康档案访问应用程序，支持授权卫生专业人员及居民便捷访问临床信息、预防保健信息、康复信息等； </w:t>
            </w:r>
            <w:r>
              <w:rPr>
                <w:sz w:val="18"/>
                <w:szCs w:val="18"/>
              </w:rPr>
            </w:r>
            <w:r/>
          </w:p>
          <w:p>
            <w:pPr>
              <w:pStyle w:val="998"/>
              <w:spacing w:line="300" w:lineRule="exact"/>
              <w:widowControl/>
              <w:rPr>
                <w:sz w:val="18"/>
                <w:szCs w:val="18"/>
              </w:rPr>
            </w:pPr>
            <w:r>
              <w:rPr>
                <w:rFonts w:hint="eastAsia"/>
                <w:sz w:val="18"/>
                <w:szCs w:val="18"/>
              </w:rPr>
              <w:t xml:space="preserve">（2）需支持</w:t>
            </w:r>
            <w:r>
              <w:rPr>
                <w:rFonts w:hint="eastAsia"/>
                <w:sz w:val="18"/>
                <w:szCs w:val="18"/>
                <w:lang w:bidi="ar"/>
              </w:rPr>
              <w:t xml:space="preserve">区域</w:t>
            </w:r>
            <w:r>
              <w:rPr>
                <w:rFonts w:hint="eastAsia"/>
                <w:sz w:val="18"/>
                <w:szCs w:val="18"/>
              </w:rPr>
              <w:t xml:space="preserve">内各医疗机构访问平台整合后的业务数据，一般限制为查阅权限； </w:t>
            </w:r>
            <w:r>
              <w:rPr>
                <w:sz w:val="18"/>
                <w:szCs w:val="18"/>
              </w:rPr>
            </w:r>
            <w:r/>
          </w:p>
          <w:p>
            <w:pPr>
              <w:pStyle w:val="998"/>
              <w:spacing w:line="300" w:lineRule="exact"/>
              <w:widowControl/>
              <w:rPr>
                <w:sz w:val="18"/>
                <w:szCs w:val="18"/>
              </w:rPr>
            </w:pPr>
            <w:r>
              <w:rPr>
                <w:rFonts w:hint="eastAsia"/>
                <w:sz w:val="18"/>
                <w:szCs w:val="18"/>
              </w:rPr>
              <w:t xml:space="preserve">（3）需包含基本信息组装、诊疗摘要组装、公卫摘要组装、辅助摘要组装及首页整合组装服务，</w:t>
            </w:r>
            <w:r>
              <w:rPr>
                <w:rFonts w:hint="eastAsia"/>
                <w:sz w:val="18"/>
                <w:szCs w:val="18"/>
                <w:lang w:bidi="ar"/>
              </w:rPr>
              <w:t xml:space="preserve">实现</w:t>
            </w:r>
            <w:r>
              <w:rPr>
                <w:rFonts w:hint="eastAsia"/>
                <w:sz w:val="18"/>
                <w:szCs w:val="18"/>
              </w:rPr>
              <w:t xml:space="preserve">居民健康信息的结构化展示与明细数据扩展访问。</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color w:val="000000"/>
                <w:sz w:val="18"/>
                <w:szCs w:val="18"/>
              </w:rPr>
              <w:t xml:space="preserve">26</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健康档案共享</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（1）需支持基本档案、体检记录、就医记录、住院记录、检查检验信息等数据整合； </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（2）需实现区县医院就医、就诊、检查检验等信息的跨机构共享；</w:t>
            </w:r>
            <w:r>
              <w:rPr>
                <w:sz w:val="18"/>
                <w:szCs w:val="18"/>
                <w:lang w:bidi="ar"/>
              </w:rPr>
            </w:r>
            <w:r/>
          </w:p>
          <w:p>
            <w:pPr>
              <w:pStyle w:val="998"/>
              <w:spacing w:line="300" w:lineRule="exact"/>
              <w:widowControl/>
              <w:rPr>
                <w:sz w:val="18"/>
                <w:szCs w:val="18"/>
              </w:rPr>
            </w:pPr>
            <w:r>
              <w:rPr>
                <w:rFonts w:hint="eastAsia"/>
                <w:sz w:val="18"/>
                <w:szCs w:val="18"/>
                <w:lang w:bidi="ar"/>
              </w:rPr>
              <w:t xml:space="preserve">（3）需支持基于居民公卫体系信息的共享服务。</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27</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健康档案调阅</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（1）需支持医疗事件模式与业务条线模式等多种调阅模式； </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（2）需针对门诊医生、住院医生、妇幼保健等不同角色定制调阅展现内容与界面；</w:t>
            </w:r>
            <w:r>
              <w:rPr>
                <w:sz w:val="18"/>
                <w:szCs w:val="18"/>
                <w:lang w:bidi="ar"/>
              </w:rPr>
            </w:r>
            <w:r/>
          </w:p>
          <w:p>
            <w:pPr>
              <w:pStyle w:val="998"/>
              <w:spacing w:line="300" w:lineRule="exact"/>
              <w:widowControl/>
              <w:rPr>
                <w:sz w:val="18"/>
                <w:szCs w:val="18"/>
              </w:rPr>
            </w:pPr>
            <w:r>
              <w:rPr>
                <w:rFonts w:hint="eastAsia"/>
                <w:sz w:val="18"/>
                <w:szCs w:val="18"/>
                <w:lang w:bidi="ar"/>
              </w:rPr>
              <w:t xml:space="preserve">（3）需整合照片等委办提供的外部信息至健康档案调阅视图。</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color w:val="000000"/>
                <w:sz w:val="18"/>
                <w:szCs w:val="18"/>
              </w:rPr>
              <w:t xml:space="preserve">28</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健康档案整体迁移功能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（1）支持基于行政区划变更等条件下的健康档案的整体迁移功能。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29</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健康档案跨省共享</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（1）需支持南通市</w:t>
            </w:r>
            <w:r>
              <w:rPr>
                <w:rFonts w:hint="eastAsia"/>
                <w:sz w:val="18"/>
                <w:szCs w:val="18"/>
                <w:lang w:bidi="ar"/>
              </w:rPr>
              <w:t xml:space="preserve">区域</w:t>
            </w:r>
            <w:r>
              <w:rPr>
                <w:rFonts w:hint="eastAsia"/>
                <w:sz w:val="18"/>
                <w:szCs w:val="18"/>
              </w:rPr>
              <w:t xml:space="preserve">卫生信息平台与上海市大健康网的接口对接，实现健康档案双向共享调阅，满足 “跨省融合” 战略目标。</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七、领导决策分析</w:t>
            </w:r>
            <w:r>
              <w:rPr>
                <w:sz w:val="18"/>
                <w:szCs w:val="18"/>
              </w:rPr>
            </w:r>
            <w:r/>
          </w:p>
        </w:tc>
        <w:tc>
          <w:tcPr>
            <w:tcW w:w="413" w:type="dxa"/>
            <w:vAlign w:val="center"/>
            <w:textDirection w:val="lrTb"/>
            <w:noWrap w:val="false"/>
          </w:tcPr>
          <w:p>
            <w:pPr>
              <w:pStyle w:val="998"/>
              <w:jc w:val="center"/>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领导决策分析适配改造，旨在重新改造程序代码以确保其与新架构兼容，支撑国产化环境中构建一个数据驱动、多维分析的领导决策支持体系，通过指标体系、统计模型及可视化工具，对医疗业务、疾病防控及资源利用等关键数据进行深度分析，为卫生政策制定、资源调配及效能评估提供科学依据。</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30</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指标体系</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（1）指标配置：需支持指标数仓配置、指标维度配置、指标字典配置、指标字段类型配置。</w:t>
            </w:r>
            <w:r>
              <w:rPr>
                <w:sz w:val="18"/>
                <w:szCs w:val="18"/>
              </w:rPr>
            </w:r>
            <w:r/>
          </w:p>
          <w:p>
            <w:pPr>
              <w:pStyle w:val="998"/>
              <w:spacing w:line="300" w:lineRule="exact"/>
              <w:widowControl/>
              <w:rPr>
                <w:color w:val="000000"/>
                <w:sz w:val="18"/>
                <w:szCs w:val="18"/>
              </w:rPr>
            </w:pPr>
            <w:r>
              <w:rPr>
                <w:rFonts w:hint="eastAsia"/>
                <w:color w:val="000000"/>
                <w:sz w:val="18"/>
                <w:szCs w:val="18"/>
              </w:rPr>
              <w:t xml:space="preserve">（2）指标中心：需支持数据加工、指标开发（含</w:t>
            </w:r>
            <w:r>
              <w:rPr>
                <w:color w:val="000000"/>
                <w:sz w:val="18"/>
                <w:szCs w:val="18"/>
              </w:rPr>
              <w:t xml:space="preserve">原子指标创建</w:t>
            </w:r>
            <w:r>
              <w:rPr>
                <w:rFonts w:hint="eastAsia"/>
                <w:color w:val="000000"/>
                <w:sz w:val="18"/>
                <w:szCs w:val="18"/>
              </w:rPr>
              <w:t xml:space="preserve">、派生指标创建、符复合指标创建、批量指标、单指标）、指标发布、指标服务、应用标签、多源配置、指标管理功能。</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31</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统计分析</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总体概览：需支持全市急救、血液、出生死亡、门诊、住院、卫生资源等情况的综合展示；需支持结合地图实现机构撒点标记与基础信息定位展示；需支持通过图表展示指标数据、分类排名、占比及同比环比情况。</w:t>
            </w:r>
            <w:r>
              <w:rPr>
                <w:sz w:val="18"/>
                <w:szCs w:val="18"/>
              </w:rPr>
            </w:r>
            <w:r/>
          </w:p>
          <w:p>
            <w:pPr>
              <w:pStyle w:val="998"/>
              <w:spacing w:line="300" w:lineRule="exact"/>
              <w:widowControl/>
              <w:rPr>
                <w:sz w:val="18"/>
                <w:szCs w:val="18"/>
                <w:lang w:bidi="ar"/>
              </w:rPr>
            </w:pPr>
            <w:r>
              <w:rPr>
                <w:rFonts w:hint="eastAsia"/>
                <w:sz w:val="18"/>
                <w:szCs w:val="18"/>
                <w:lang w:bidi="ar"/>
              </w:rPr>
              <w:t xml:space="preserve">（2）卫生资源：需支持医疗机构及卫生设施概览，对各级医疗机构数、卫生机构数、床位数进行分类统计；需支持医疗机构构成分析（按级别和类型）；需支持人员情况构成分析，对医护人员数量、医护比、医患比、床护比等进行统计。</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（3）医疗服务：需支持门急诊业务内容含门急诊业务收入分析、业务量分析、门急诊药占比分析等；需支持住院业务内容含住院业务收入分析、业务量分析、住院手术分析等。</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4）公共卫生：需支持慢性病监测管理人数分析、出生死亡情况统计、重点人群健康管理分类统计等；需支持传染病、突发应急、应急人财物情况统计等；需支持免疫规划、健康危害因素、实验室等其他条线情况统计等。</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5）合理用药：需支持医疗机构处方监管，统计合理用药审查违规处方数；需支持不合理用药分类统计（用药适应症、剂型途径、用法用量等不适宜情况）；需支持抗菌药物使用率及重点科室超标情况分析统计等。</w:t>
            </w:r>
            <w:r>
              <w:rPr>
                <w:sz w:val="18"/>
                <w:szCs w:val="18"/>
                <w:lang w:bidi="ar"/>
              </w:rPr>
            </w:r>
            <w:r/>
          </w:p>
          <w:p>
            <w:pPr>
              <w:pStyle w:val="998"/>
              <w:spacing w:line="300" w:lineRule="exact"/>
              <w:widowControl/>
              <w:rPr>
                <w:rFonts w:hint="eastAsia"/>
                <w:b/>
                <w:bCs/>
              </w:rPr>
            </w:pPr>
            <w:r>
              <w:rPr>
                <w:rFonts w:hint="eastAsia"/>
                <w:sz w:val="18"/>
                <w:szCs w:val="18"/>
                <w:lang w:bidi="ar"/>
              </w:rPr>
              <w:t xml:space="preserve">（6）妇幼保健：需支持妇女保健含孕产妇生育、生产、产后访视、早孕建册情况统计，出生人口及孕产妇地区分布统计， "两癌" 筛查任务完</w:t>
            </w:r>
            <w:r>
              <w:rPr>
                <w:rFonts w:hint="eastAsia"/>
                <w:sz w:val="18"/>
                <w:szCs w:val="18"/>
              </w:rPr>
              <w:t xml:space="preserve">成进度、随访情况分析，高危孕产妇</w:t>
            </w:r>
            <w:r>
              <w:rPr>
                <w:rFonts w:hint="eastAsia"/>
                <w:sz w:val="18"/>
                <w:szCs w:val="18"/>
                <w:lang w:bidi="ar"/>
              </w:rPr>
              <w:t xml:space="preserve">年龄分布</w:t>
            </w:r>
            <w:r>
              <w:rPr>
                <w:rFonts w:hint="eastAsia"/>
                <w:sz w:val="18"/>
                <w:szCs w:val="18"/>
              </w:rPr>
              <w:t xml:space="preserve">、疾病种类、风险等级分析等；需支持儿童保健含儿童出生死亡、新生儿情况、儿童体检、营养健康数据分析，新生儿出生情况、出生缺陷、产后访视统计， 0-3 岁婴幼儿生长、免疫、体检情况统计， 3-6 岁儿童健康检查、营养评价统计等。</w:t>
            </w:r>
            <w:r>
              <w:rPr>
                <w:rFonts w:hint="eastAsia"/>
                <w:b/>
                <w:bCs/>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八、疾病监测服务</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疾病监测服务适配改造，旨在重新改造程序代码以确保其与新架构兼容，支撑国产化环境中构建一个实时、精准的疾病监测与报告体系。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32</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医疗机构传染病报告管理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（1）传染病报卡提醒</w:t>
            </w:r>
            <w:r>
              <w:rPr>
                <w:sz w:val="18"/>
                <w:szCs w:val="18"/>
              </w:rPr>
            </w:r>
            <w:r/>
          </w:p>
          <w:p>
            <w:pPr>
              <w:pStyle w:val="998"/>
              <w:spacing w:line="300" w:lineRule="exact"/>
              <w:widowControl/>
              <w:rPr>
                <w:sz w:val="18"/>
                <w:szCs w:val="18"/>
              </w:rPr>
            </w:pPr>
            <w:r>
              <w:rPr>
                <w:rFonts w:hint="eastAsia"/>
                <w:sz w:val="18"/>
                <w:szCs w:val="18"/>
              </w:rPr>
              <w:t xml:space="preserve">病患来医院就诊时，对于符合法定传染病及其他需要报告的病例，系统需提示临床医生进行传染病报告。</w:t>
            </w:r>
            <w:r>
              <w:rPr>
                <w:sz w:val="18"/>
                <w:szCs w:val="18"/>
              </w:rPr>
            </w:r>
            <w:r/>
          </w:p>
          <w:p>
            <w:pPr>
              <w:pStyle w:val="998"/>
              <w:spacing w:line="300" w:lineRule="exact"/>
              <w:widowControl/>
              <w:rPr>
                <w:sz w:val="18"/>
                <w:szCs w:val="18"/>
              </w:rPr>
            </w:pPr>
            <w:r>
              <w:rPr>
                <w:rFonts w:hint="eastAsia"/>
                <w:sz w:val="18"/>
                <w:szCs w:val="18"/>
              </w:rPr>
              <w:t xml:space="preserve">当临床医生为病人下的诊断（ICD10编码）属于传染病及其他需要报告病例的范围时，则病患属于传染病报告对象；</w:t>
            </w:r>
            <w:r>
              <w:rPr>
                <w:sz w:val="18"/>
                <w:szCs w:val="18"/>
              </w:rPr>
            </w:r>
            <w:r/>
          </w:p>
          <w:p>
            <w:pPr>
              <w:pStyle w:val="998"/>
              <w:spacing w:line="300" w:lineRule="exact"/>
              <w:widowControl/>
              <w:rPr>
                <w:sz w:val="18"/>
                <w:szCs w:val="18"/>
              </w:rPr>
            </w:pPr>
            <w:r>
              <w:rPr>
                <w:rFonts w:hint="eastAsia"/>
                <w:sz w:val="18"/>
                <w:szCs w:val="18"/>
              </w:rPr>
              <w:t xml:space="preserve">当判定病患为传染病报告对象时，根据证件号码、病种、诊断级别、病程（病种、病程判定依据见附录）判断院内是否已有重复报卡。若有，则弹出告知医生已经有相关传染。</w:t>
            </w:r>
            <w:r>
              <w:rPr>
                <w:sz w:val="18"/>
                <w:szCs w:val="18"/>
              </w:rPr>
            </w:r>
            <w:r/>
          </w:p>
          <w:p>
            <w:pPr>
              <w:pStyle w:val="998"/>
              <w:spacing w:line="300" w:lineRule="exact"/>
              <w:widowControl/>
              <w:rPr>
                <w:sz w:val="18"/>
                <w:szCs w:val="18"/>
              </w:rPr>
            </w:pPr>
            <w:r>
              <w:rPr>
                <w:rFonts w:hint="eastAsia"/>
                <w:sz w:val="18"/>
                <w:szCs w:val="18"/>
              </w:rPr>
              <w:t xml:space="preserve">（2）呼吸道感染疾病症状监测</w:t>
            </w:r>
            <w:r>
              <w:rPr>
                <w:sz w:val="18"/>
                <w:szCs w:val="18"/>
              </w:rPr>
            </w:r>
            <w:r/>
          </w:p>
          <w:p>
            <w:pPr>
              <w:pStyle w:val="998"/>
              <w:spacing w:line="300" w:lineRule="exact"/>
              <w:widowControl/>
              <w:rPr>
                <w:sz w:val="18"/>
                <w:szCs w:val="18"/>
              </w:rPr>
            </w:pPr>
            <w:r>
              <w:rPr>
                <w:rFonts w:hint="eastAsia"/>
                <w:sz w:val="18"/>
                <w:szCs w:val="18"/>
              </w:rPr>
              <w:t xml:space="preserve">选择试点医疗机构并在试点医疗机构开展呼吸道感染疾病症状监测，包含体温、呼吸道症状等信息。对于监测到符合相关传染病症状的信息则需在医生站给出相应的提示。</w:t>
            </w:r>
            <w:r>
              <w:rPr>
                <w:sz w:val="18"/>
                <w:szCs w:val="18"/>
              </w:rPr>
            </w:r>
            <w:r/>
          </w:p>
          <w:p>
            <w:pPr>
              <w:pStyle w:val="998"/>
              <w:spacing w:line="300" w:lineRule="exact"/>
              <w:widowControl/>
              <w:rPr>
                <w:sz w:val="18"/>
                <w:szCs w:val="18"/>
              </w:rPr>
            </w:pPr>
            <w:r>
              <w:rPr>
                <w:rFonts w:hint="eastAsia"/>
                <w:sz w:val="18"/>
                <w:szCs w:val="18"/>
              </w:rPr>
              <w:t xml:space="preserve">（3）临床医生传染病填卡上报</w:t>
            </w:r>
            <w:r>
              <w:rPr>
                <w:sz w:val="18"/>
                <w:szCs w:val="18"/>
              </w:rPr>
            </w:r>
            <w:r/>
          </w:p>
          <w:p>
            <w:pPr>
              <w:pStyle w:val="998"/>
              <w:spacing w:line="300" w:lineRule="exact"/>
              <w:widowControl/>
              <w:rPr>
                <w:sz w:val="18"/>
                <w:szCs w:val="18"/>
              </w:rPr>
            </w:pPr>
            <w:r>
              <w:rPr>
                <w:rFonts w:hint="eastAsia"/>
                <w:sz w:val="18"/>
                <w:szCs w:val="18"/>
              </w:rPr>
              <w:t xml:space="preserve">病患来医院就诊时，在医疗机构的门诊和住院部需实现基于医院HIS系统的传染病填卡上报；需实现医务人员根据诊断强制对39种传染病报告，系统需要在医生站提示临床医生进行传染病报告并提供对应的报卡界面，供临床医生进行填报，原则上谁诊断谁录入，界面友好，以选择、数字输入为主。此外，相应的临床医生还需要对自己上报的传染病信息进行综合查询和数据统计。</w:t>
            </w:r>
            <w:r>
              <w:rPr>
                <w:sz w:val="18"/>
                <w:szCs w:val="18"/>
              </w:rPr>
            </w:r>
            <w:r/>
          </w:p>
          <w:p>
            <w:pPr>
              <w:pStyle w:val="998"/>
              <w:spacing w:line="300" w:lineRule="exact"/>
              <w:widowControl/>
              <w:rPr>
                <w:sz w:val="18"/>
                <w:szCs w:val="18"/>
              </w:rPr>
            </w:pPr>
            <w:r>
              <w:rPr>
                <w:rFonts w:hint="eastAsia"/>
                <w:sz w:val="18"/>
                <w:szCs w:val="18"/>
              </w:rPr>
              <w:t xml:space="preserve">（4）传染病相关数据上传及填写：</w:t>
            </w:r>
            <w:r>
              <w:rPr>
                <w:sz w:val="18"/>
                <w:szCs w:val="18"/>
              </w:rPr>
            </w:r>
            <w:r/>
          </w:p>
          <w:p>
            <w:pPr>
              <w:pStyle w:val="998"/>
              <w:spacing w:line="300" w:lineRule="exact"/>
              <w:widowControl/>
              <w:rPr>
                <w:sz w:val="18"/>
                <w:szCs w:val="18"/>
              </w:rPr>
            </w:pPr>
            <w:r>
              <w:rPr>
                <w:rFonts w:hint="eastAsia"/>
                <w:sz w:val="18"/>
                <w:szCs w:val="18"/>
              </w:rPr>
              <w:t xml:space="preserve">1）门诊日志至少需要包括就诊日期、姓名、性别、年龄、职业、现住址、病名(初步诊断)、发病日期、初诊或复诊等9项基本内容（均为必填项）。</w:t>
            </w:r>
            <w:r>
              <w:rPr>
                <w:sz w:val="18"/>
                <w:szCs w:val="18"/>
              </w:rPr>
            </w:r>
            <w:r/>
          </w:p>
          <w:p>
            <w:pPr>
              <w:pStyle w:val="998"/>
              <w:spacing w:line="300" w:lineRule="exact"/>
              <w:widowControl/>
              <w:rPr>
                <w:sz w:val="18"/>
                <w:szCs w:val="18"/>
              </w:rPr>
            </w:pPr>
            <w:r>
              <w:rPr>
                <w:rFonts w:hint="eastAsia"/>
                <w:sz w:val="18"/>
                <w:szCs w:val="18"/>
              </w:rPr>
              <w:t xml:space="preserve">2）出入院登记至少需要包括病人姓名、性别、年龄、职业、现住址、入院日期、入院诊断、出院日期、出院诊断、转归情况(是否死亡、死亡原因、死亡日期)等12项基本内容，信息填写做到详细、规范，在填写出院小结时以上信息必须完整。</w:t>
            </w:r>
            <w:r>
              <w:rPr>
                <w:sz w:val="18"/>
                <w:szCs w:val="18"/>
              </w:rPr>
            </w:r>
            <w:r/>
          </w:p>
          <w:p>
            <w:pPr>
              <w:pStyle w:val="998"/>
              <w:spacing w:line="300" w:lineRule="exact"/>
              <w:widowControl/>
              <w:rPr>
                <w:sz w:val="18"/>
                <w:szCs w:val="18"/>
              </w:rPr>
            </w:pPr>
            <w:r>
              <w:rPr>
                <w:rFonts w:hint="eastAsia"/>
                <w:sz w:val="18"/>
                <w:szCs w:val="18"/>
              </w:rPr>
              <w:t xml:space="preserve">3）法定传染病诊疗信息需包含门诊、检验、住院、出院诊断各项信息完整。检验部门的检验登记至少需包括：病人姓名、性别、年龄、送检日期、送检科室和医师、送检诊断、样品名称、检验结果、检验医生、检验日期、异常结果反馈记录等项目。影像部门的影像登记至少需要包括：病人姓名、性别、年龄、送检日期、送检科室、检查项目、影像结果诊断、影像科医生签名、检查日期、异常结果反馈记录等项目。</w:t>
            </w:r>
            <w:r>
              <w:rPr>
                <w:sz w:val="18"/>
                <w:szCs w:val="18"/>
              </w:rPr>
            </w:r>
            <w:r/>
          </w:p>
          <w:p>
            <w:pPr>
              <w:pStyle w:val="998"/>
              <w:spacing w:line="300" w:lineRule="exact"/>
              <w:widowControl/>
              <w:rPr>
                <w:sz w:val="18"/>
                <w:szCs w:val="18"/>
              </w:rPr>
            </w:pPr>
            <w:r>
              <w:rPr>
                <w:rFonts w:hint="eastAsia"/>
                <w:sz w:val="18"/>
                <w:szCs w:val="18"/>
              </w:rPr>
              <w:t xml:space="preserve">（5）防保科查重复、审核管理：</w:t>
            </w:r>
            <w:r>
              <w:rPr>
                <w:sz w:val="18"/>
                <w:szCs w:val="18"/>
              </w:rPr>
            </w:r>
            <w:r/>
          </w:p>
          <w:p>
            <w:pPr>
              <w:pStyle w:val="998"/>
              <w:spacing w:line="300" w:lineRule="exact"/>
              <w:widowControl/>
              <w:rPr>
                <w:sz w:val="18"/>
                <w:szCs w:val="18"/>
              </w:rPr>
            </w:pPr>
            <w:r>
              <w:rPr>
                <w:rFonts w:hint="eastAsia"/>
                <w:sz w:val="18"/>
                <w:szCs w:val="18"/>
              </w:rPr>
              <w:t xml:space="preserve">医院保健科（防保科）需具备进入本市疾病/症状监测系统（防保科专用）根据提示信息进行核查修改的功能（界面与国家大疫情网中的录入界面相同），审核通过后报卡信息正式提交至公卫平台；审核不通过则返回给对应医生进行订正重填。此外，医院防保科还需要对本院的各类上报的传染病进行个案管理和导出、综合查询和数据统计等。</w:t>
            </w:r>
            <w:r>
              <w:rPr>
                <w:sz w:val="18"/>
                <w:szCs w:val="18"/>
              </w:rPr>
            </w:r>
            <w:r/>
          </w:p>
          <w:p>
            <w:pPr>
              <w:pStyle w:val="998"/>
              <w:spacing w:line="300" w:lineRule="exact"/>
              <w:widowControl/>
              <w:rPr>
                <w:rFonts w:hint="eastAsia"/>
                <w:b/>
                <w:bCs/>
              </w:rPr>
            </w:pPr>
            <w:r>
              <w:rPr>
                <w:rFonts w:hint="eastAsia"/>
                <w:b/>
                <w:bCs/>
                <w:sz w:val="18"/>
                <w:szCs w:val="18"/>
              </w:rPr>
              <w:t xml:space="preserve">注：须提供信息系统功能截图佐证，不提供不得分。</w:t>
            </w:r>
            <w:r>
              <w:rPr>
                <w:rFonts w:hint="eastAsia"/>
                <w:b/>
                <w:bCs/>
              </w:rPr>
            </w:r>
            <w:r/>
          </w:p>
        </w:tc>
        <w:tc>
          <w:tcPr>
            <w:tcW w:w="413" w:type="dxa"/>
            <w:vAlign w:val="center"/>
            <w:textDirection w:val="lrTb"/>
            <w:noWrap w:val="false"/>
          </w:tcPr>
          <w:p>
            <w:pPr>
              <w:pStyle w:val="998"/>
              <w:spacing w:line="300" w:lineRule="exact"/>
              <w:widowControl/>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33</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统计分析</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保健科（防保科）需具备进入本市疾病/症状监测系统根据提示信息进行核查修改的功能。查询数据时，需具备剔重选项，可勾选身份证号码、姓名、年龄、出生日期、诊断日期、ICD编码进行查重。系统需具备分析功能，能够生成统计报表，以便区、市疾控机构下载数据库进行进一步分析利用。</w:t>
            </w:r>
            <w:r>
              <w:rPr>
                <w:sz w:val="18"/>
                <w:szCs w:val="18"/>
              </w:rPr>
            </w:r>
            <w:r/>
          </w:p>
          <w:p>
            <w:pPr>
              <w:pStyle w:val="998"/>
              <w:spacing w:after="120" w:line="300" w:lineRule="exact"/>
              <w:rPr>
                <w:sz w:val="18"/>
                <w:szCs w:val="18"/>
              </w:rPr>
            </w:pPr>
            <w:r>
              <w:rPr>
                <w:rFonts w:hint="eastAsia"/>
                <w:sz w:val="18"/>
                <w:szCs w:val="18"/>
              </w:rPr>
              <w:t xml:space="preserve">（1）业务指标与统计规则</w:t>
            </w:r>
            <w:r>
              <w:rPr>
                <w:sz w:val="18"/>
                <w:szCs w:val="18"/>
              </w:rPr>
            </w:r>
            <w:r/>
          </w:p>
          <w:p>
            <w:pPr>
              <w:pStyle w:val="998"/>
              <w:numPr>
                <w:ilvl w:val="0"/>
                <w:numId w:val="9"/>
              </w:numPr>
              <w:spacing w:after="120" w:line="300" w:lineRule="exact"/>
              <w:rPr>
                <w:sz w:val="18"/>
                <w:szCs w:val="18"/>
              </w:rPr>
            </w:pPr>
            <w:r>
              <w:rPr>
                <w:sz w:val="18"/>
                <w:szCs w:val="18"/>
              </w:rPr>
              <w:t xml:space="preserve">报告发病率</w:t>
            </w:r>
            <w:r>
              <w:rPr>
                <w:sz w:val="18"/>
                <w:szCs w:val="18"/>
              </w:rPr>
            </w:r>
            <w:r/>
          </w:p>
          <w:p>
            <w:pPr>
              <w:pStyle w:val="998"/>
              <w:numPr>
                <w:ilvl w:val="0"/>
                <w:numId w:val="9"/>
              </w:numPr>
              <w:spacing w:after="120" w:line="300" w:lineRule="exact"/>
              <w:rPr>
                <w:sz w:val="18"/>
                <w:szCs w:val="18"/>
              </w:rPr>
            </w:pPr>
            <w:r>
              <w:rPr>
                <w:sz w:val="18"/>
                <w:szCs w:val="18"/>
              </w:rPr>
              <w:t xml:space="preserve">报告死亡率</w:t>
            </w:r>
            <w:r>
              <w:rPr>
                <w:sz w:val="18"/>
                <w:szCs w:val="18"/>
              </w:rPr>
            </w:r>
            <w:r/>
          </w:p>
          <w:p>
            <w:pPr>
              <w:pStyle w:val="998"/>
              <w:numPr>
                <w:ilvl w:val="0"/>
                <w:numId w:val="9"/>
              </w:numPr>
              <w:spacing w:after="120" w:line="300" w:lineRule="exact"/>
              <w:rPr>
                <w:sz w:val="18"/>
                <w:szCs w:val="18"/>
              </w:rPr>
            </w:pPr>
            <w:r>
              <w:rPr>
                <w:sz w:val="18"/>
                <w:szCs w:val="18"/>
              </w:rPr>
              <w:t xml:space="preserve">报告病死率</w:t>
            </w:r>
            <w:r>
              <w:rPr>
                <w:sz w:val="18"/>
                <w:szCs w:val="18"/>
              </w:rPr>
            </w:r>
            <w:r/>
          </w:p>
          <w:p>
            <w:pPr>
              <w:pStyle w:val="998"/>
              <w:numPr>
                <w:ilvl w:val="0"/>
                <w:numId w:val="9"/>
              </w:numPr>
              <w:spacing w:after="120" w:line="300" w:lineRule="exact"/>
              <w:rPr>
                <w:sz w:val="18"/>
                <w:szCs w:val="18"/>
              </w:rPr>
            </w:pPr>
            <w:r>
              <w:rPr>
                <w:sz w:val="18"/>
                <w:szCs w:val="18"/>
              </w:rPr>
              <w:t xml:space="preserve">报告患病率</w:t>
            </w:r>
            <w:r>
              <w:rPr>
                <w:sz w:val="18"/>
                <w:szCs w:val="18"/>
              </w:rPr>
            </w:r>
            <w:r/>
          </w:p>
          <w:p>
            <w:pPr>
              <w:pStyle w:val="998"/>
              <w:numPr>
                <w:ilvl w:val="0"/>
                <w:numId w:val="9"/>
              </w:numPr>
              <w:spacing w:after="120" w:line="300" w:lineRule="exact"/>
              <w:rPr>
                <w:sz w:val="18"/>
                <w:szCs w:val="18"/>
              </w:rPr>
            </w:pPr>
            <w:r>
              <w:rPr>
                <w:sz w:val="18"/>
                <w:szCs w:val="18"/>
              </w:rPr>
              <w:t xml:space="preserve">治愈率</w:t>
            </w:r>
            <w:r>
              <w:rPr>
                <w:sz w:val="18"/>
                <w:szCs w:val="18"/>
              </w:rPr>
            </w:r>
            <w:r/>
          </w:p>
          <w:p>
            <w:pPr>
              <w:pStyle w:val="998"/>
              <w:numPr>
                <w:ilvl w:val="0"/>
                <w:numId w:val="9"/>
              </w:numPr>
              <w:spacing w:after="120" w:line="300" w:lineRule="exact"/>
              <w:rPr>
                <w:sz w:val="18"/>
                <w:szCs w:val="18"/>
              </w:rPr>
            </w:pPr>
            <w:r>
              <w:rPr>
                <w:sz w:val="18"/>
                <w:szCs w:val="18"/>
              </w:rPr>
              <w:t xml:space="preserve">实验室检测阳性率</w:t>
            </w:r>
            <w:r>
              <w:rPr>
                <w:sz w:val="18"/>
                <w:szCs w:val="18"/>
              </w:rPr>
            </w:r>
            <w:r/>
          </w:p>
          <w:p>
            <w:pPr>
              <w:pStyle w:val="998"/>
              <w:spacing w:after="120" w:line="300" w:lineRule="exact"/>
              <w:rPr>
                <w:sz w:val="18"/>
                <w:szCs w:val="18"/>
              </w:rPr>
            </w:pPr>
            <w:r>
              <w:rPr>
                <w:rFonts w:hint="eastAsia"/>
                <w:sz w:val="18"/>
                <w:szCs w:val="18"/>
              </w:rPr>
              <w:t xml:space="preserve">（2）工作量化指标与统计规则</w:t>
            </w:r>
            <w:r>
              <w:rPr>
                <w:sz w:val="18"/>
                <w:szCs w:val="18"/>
              </w:rPr>
            </w:r>
            <w:r/>
          </w:p>
          <w:p>
            <w:pPr>
              <w:pStyle w:val="998"/>
              <w:numPr>
                <w:ilvl w:val="0"/>
                <w:numId w:val="10"/>
              </w:numPr>
              <w:spacing w:after="120" w:line="300" w:lineRule="exact"/>
              <w:rPr>
                <w:sz w:val="18"/>
                <w:szCs w:val="18"/>
              </w:rPr>
            </w:pPr>
            <w:r>
              <w:rPr>
                <w:sz w:val="18"/>
                <w:szCs w:val="18"/>
              </w:rPr>
              <w:t xml:space="preserve">建档率</w:t>
            </w:r>
            <w:r>
              <w:rPr>
                <w:sz w:val="18"/>
                <w:szCs w:val="18"/>
              </w:rPr>
            </w:r>
            <w:r/>
          </w:p>
          <w:p>
            <w:pPr>
              <w:pStyle w:val="998"/>
              <w:numPr>
                <w:ilvl w:val="0"/>
                <w:numId w:val="10"/>
              </w:numPr>
              <w:spacing w:after="120" w:line="300" w:lineRule="exact"/>
              <w:rPr>
                <w:sz w:val="18"/>
                <w:szCs w:val="18"/>
              </w:rPr>
            </w:pPr>
            <w:r>
              <w:rPr>
                <w:sz w:val="18"/>
                <w:szCs w:val="18"/>
              </w:rPr>
              <w:t xml:space="preserve">网络报告覆盖率</w:t>
            </w:r>
            <w:r>
              <w:rPr>
                <w:sz w:val="18"/>
                <w:szCs w:val="18"/>
              </w:rPr>
            </w:r>
            <w:r/>
          </w:p>
          <w:p>
            <w:pPr>
              <w:pStyle w:val="998"/>
              <w:numPr>
                <w:ilvl w:val="0"/>
                <w:numId w:val="10"/>
              </w:numPr>
              <w:spacing w:after="120" w:line="300" w:lineRule="exact"/>
              <w:rPr>
                <w:sz w:val="18"/>
                <w:szCs w:val="18"/>
              </w:rPr>
            </w:pPr>
            <w:r>
              <w:rPr>
                <w:sz w:val="18"/>
                <w:szCs w:val="18"/>
              </w:rPr>
              <w:t xml:space="preserve">治疗率</w:t>
            </w:r>
            <w:r>
              <w:rPr>
                <w:sz w:val="18"/>
                <w:szCs w:val="18"/>
              </w:rPr>
            </w:r>
            <w:r/>
          </w:p>
          <w:p>
            <w:pPr>
              <w:pStyle w:val="998"/>
              <w:numPr>
                <w:ilvl w:val="0"/>
                <w:numId w:val="10"/>
              </w:numPr>
              <w:spacing w:after="120" w:line="300" w:lineRule="exact"/>
              <w:rPr>
                <w:sz w:val="18"/>
                <w:szCs w:val="18"/>
              </w:rPr>
            </w:pPr>
            <w:r>
              <w:rPr>
                <w:sz w:val="18"/>
                <w:szCs w:val="18"/>
              </w:rPr>
              <w:t xml:space="preserve">管理率</w:t>
            </w:r>
            <w:r>
              <w:rPr>
                <w:sz w:val="18"/>
                <w:szCs w:val="18"/>
              </w:rPr>
            </w:r>
            <w:r/>
          </w:p>
          <w:p>
            <w:pPr>
              <w:pStyle w:val="998"/>
              <w:numPr>
                <w:ilvl w:val="0"/>
                <w:numId w:val="10"/>
              </w:numPr>
              <w:spacing w:after="120" w:line="300" w:lineRule="exact"/>
              <w:rPr>
                <w:sz w:val="18"/>
                <w:szCs w:val="18"/>
              </w:rPr>
            </w:pPr>
            <w:r>
              <w:rPr>
                <w:sz w:val="18"/>
                <w:szCs w:val="18"/>
              </w:rPr>
              <w:t xml:space="preserve">密切接触者筛查率</w:t>
            </w:r>
            <w:r>
              <w:rPr>
                <w:sz w:val="18"/>
                <w:szCs w:val="18"/>
              </w:rPr>
            </w:r>
            <w:r/>
          </w:p>
          <w:p>
            <w:pPr>
              <w:pStyle w:val="998"/>
              <w:spacing w:after="120" w:line="300" w:lineRule="exact"/>
              <w:rPr>
                <w:sz w:val="18"/>
                <w:szCs w:val="18"/>
              </w:rPr>
            </w:pPr>
            <w:r>
              <w:rPr>
                <w:rFonts w:hint="eastAsia"/>
                <w:sz w:val="18"/>
                <w:szCs w:val="18"/>
              </w:rPr>
              <w:t xml:space="preserve">（3）质量控制指标与统计规则</w:t>
            </w:r>
            <w:r>
              <w:rPr>
                <w:sz w:val="18"/>
                <w:szCs w:val="18"/>
              </w:rPr>
            </w:r>
            <w:r/>
          </w:p>
          <w:p>
            <w:pPr>
              <w:pStyle w:val="998"/>
              <w:numPr>
                <w:ilvl w:val="0"/>
                <w:numId w:val="10"/>
              </w:numPr>
              <w:spacing w:after="120" w:line="300" w:lineRule="exact"/>
              <w:rPr>
                <w:sz w:val="18"/>
                <w:szCs w:val="18"/>
              </w:rPr>
            </w:pPr>
            <w:r>
              <w:rPr>
                <w:sz w:val="18"/>
                <w:szCs w:val="18"/>
              </w:rPr>
              <w:t xml:space="preserve">报告质量合格率</w:t>
            </w:r>
            <w:r>
              <w:rPr>
                <w:sz w:val="18"/>
                <w:szCs w:val="18"/>
              </w:rPr>
            </w:r>
            <w:r/>
          </w:p>
          <w:p>
            <w:pPr>
              <w:pStyle w:val="998"/>
              <w:numPr>
                <w:ilvl w:val="0"/>
                <w:numId w:val="10"/>
              </w:numPr>
              <w:spacing w:after="120" w:line="300" w:lineRule="exact"/>
              <w:rPr>
                <w:sz w:val="18"/>
                <w:szCs w:val="18"/>
              </w:rPr>
            </w:pPr>
            <w:r>
              <w:rPr>
                <w:sz w:val="18"/>
                <w:szCs w:val="18"/>
              </w:rPr>
              <w:t xml:space="preserve">漏报率</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九、各家医院与机构的信息系统双向接口建设</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各家医院与机构的信息系统双向接口适配改造，旨在重新改造程序代码以确保其与新架构兼容，支撑国产化环境中构建一个广覆盖、标准化的系统对接体系。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34</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南通市各类医疗机构对接</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ind w:firstLine="360"/>
              <w:spacing w:line="360" w:lineRule="auto"/>
              <w:rPr>
                <w:b/>
                <w:bCs/>
                <w:color w:val="000000"/>
                <w:sz w:val="18"/>
                <w:szCs w:val="18"/>
              </w:rPr>
            </w:pPr>
            <w:r>
              <w:rPr>
                <w:rFonts w:hint="eastAsia"/>
                <w:color w:val="000000"/>
                <w:sz w:val="18"/>
                <w:szCs w:val="18"/>
              </w:rPr>
              <w:t xml:space="preserve">需实现全民健康信息平台与南通市所有公立医疗机构对接，其中基层公立医疗机构，通过区县平台进行对接。</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35</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区县平台对接</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ind w:firstLine="360"/>
              <w:spacing w:line="360" w:lineRule="auto"/>
              <w:rPr>
                <w:color w:val="000000"/>
                <w:sz w:val="18"/>
                <w:szCs w:val="18"/>
              </w:rPr>
            </w:pPr>
            <w:r>
              <w:rPr>
                <w:rFonts w:hint="eastAsia"/>
                <w:color w:val="000000"/>
                <w:sz w:val="18"/>
                <w:szCs w:val="18"/>
              </w:rPr>
              <w:t xml:space="preserve">需实现全民健康信息平台与南通市各区县平台对接，包括：覆盖如东县、海安市、如皋市、海门区、通州区和启东市区（县）级社区卫生服务中心。</w:t>
            </w:r>
            <w:r>
              <w:rPr>
                <w:color w:val="000000"/>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36</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数据采集补充</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1）需实现全市所有二级以上医院的“采样化验记录表”、住院“手术治疗记录表”、电子病历“治疗处置记录表”、“病案首页诊断表”和“病案首页手术记录表”的采集，相关标准参照江苏省卫健委颁发的最新标准要求。</w:t>
            </w:r>
            <w:r>
              <w:rPr>
                <w:sz w:val="18"/>
                <w:szCs w:val="18"/>
              </w:rPr>
            </w:r>
            <w:r/>
          </w:p>
          <w:p>
            <w:pPr>
              <w:pStyle w:val="998"/>
              <w:spacing w:after="120" w:line="300" w:lineRule="exact"/>
              <w:rPr>
                <w:sz w:val="18"/>
                <w:szCs w:val="18"/>
              </w:rPr>
            </w:pPr>
            <w:r>
              <w:rPr>
                <w:rFonts w:hint="eastAsia"/>
                <w:sz w:val="18"/>
                <w:szCs w:val="18"/>
              </w:rPr>
              <w:t xml:space="preserve">（</w:t>
            </w:r>
            <w:r>
              <w:rPr>
                <w:sz w:val="18"/>
                <w:szCs w:val="18"/>
              </w:rPr>
              <w:t xml:space="preserve">2</w:t>
            </w:r>
            <w:r>
              <w:rPr>
                <w:rFonts w:hint="eastAsia"/>
                <w:sz w:val="18"/>
                <w:szCs w:val="18"/>
              </w:rPr>
              <w:t xml:space="preserve">）需实现市属8家医院财务系统进行补充数据采集，从而满足财务相关的管理，指标包括医疗收入/百元固定资产、业务支出/百元业务收入、资产负载率、固定资产总值，并在系统增加展示各家医疗机构的具体收入和支出财务信息，相关标准参照江苏省卫健委颁发的最新标准要求。</w:t>
            </w:r>
            <w:r>
              <w:rPr>
                <w:sz w:val="18"/>
                <w:szCs w:val="18"/>
              </w:rPr>
            </w:r>
            <w:r/>
          </w:p>
          <w:p>
            <w:pPr>
              <w:pStyle w:val="998"/>
              <w:spacing w:after="120" w:line="300" w:lineRule="exact"/>
              <w:rPr>
                <w:sz w:val="18"/>
                <w:szCs w:val="18"/>
              </w:rPr>
            </w:pPr>
            <w:r>
              <w:rPr>
                <w:rFonts w:hint="eastAsia"/>
                <w:sz w:val="18"/>
                <w:szCs w:val="18"/>
              </w:rPr>
              <w:t xml:space="preserve">（</w:t>
            </w:r>
            <w:r>
              <w:rPr>
                <w:sz w:val="18"/>
                <w:szCs w:val="18"/>
              </w:rPr>
              <w:t xml:space="preserve">3</w:t>
            </w:r>
            <w:r>
              <w:rPr>
                <w:rFonts w:hint="eastAsia"/>
                <w:sz w:val="18"/>
                <w:szCs w:val="18"/>
              </w:rPr>
              <w:t xml:space="preserve">）以上业务的数据需对接到数据交换系统，并同步修改数据质量监控平台的相关功能和配置，实现以上接口数据纳入数据质量监管范围。</w:t>
            </w:r>
            <w:r>
              <w:rPr>
                <w:sz w:val="18"/>
                <w:szCs w:val="18"/>
              </w:rPr>
            </w:r>
            <w:r/>
          </w:p>
          <w:p>
            <w:pPr>
              <w:pStyle w:val="998"/>
              <w:spacing w:after="120" w:line="300" w:lineRule="exact"/>
              <w:rPr>
                <w:sz w:val="18"/>
                <w:szCs w:val="18"/>
              </w:rPr>
            </w:pPr>
            <w:r>
              <w:rPr>
                <w:rFonts w:hint="eastAsia"/>
                <w:sz w:val="18"/>
                <w:szCs w:val="18"/>
              </w:rPr>
              <w:t xml:space="preserve">（</w:t>
            </w:r>
            <w:r>
              <w:rPr>
                <w:sz w:val="18"/>
                <w:szCs w:val="18"/>
              </w:rPr>
              <w:t xml:space="preserve">4</w:t>
            </w:r>
            <w:r>
              <w:rPr>
                <w:rFonts w:hint="eastAsia"/>
                <w:sz w:val="18"/>
                <w:szCs w:val="18"/>
              </w:rPr>
              <w:t xml:space="preserve">）扩展中心血站采集范围，与中心血站承建厂商对接包括采集献血者名单、血液库存、血液配送、用血信息等业务数据，实现对市属医院血液全过程数据信息化管理。全民健康平台建设针对数据接收、整合利用，形成完整的可追溯的信息链，提供卫健委查询和统计配套功能，进一步保证了血液质量和血液安全。</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3</w:t>
            </w:r>
            <w:r>
              <w:rPr>
                <w:b/>
                <w:bCs/>
                <w:sz w:val="18"/>
                <w:szCs w:val="18"/>
              </w:rPr>
              <w:t xml:space="preserve">7</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市民政局对接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（1）根据民政局的要求，需针对老年人口、低收入人口、失独家庭、独居老人等特定范围人群，实现全民健康信息平台与居民家庭经济状况核对系统的对接和数据交换接口。</w:t>
            </w:r>
            <w:r>
              <w:rPr>
                <w:sz w:val="18"/>
                <w:szCs w:val="18"/>
              </w:rPr>
            </w:r>
            <w:r/>
          </w:p>
          <w:p>
            <w:pPr>
              <w:pStyle w:val="998"/>
              <w:spacing w:after="120" w:line="300" w:lineRule="exact"/>
              <w:rPr>
                <w:sz w:val="18"/>
                <w:szCs w:val="18"/>
              </w:rPr>
            </w:pPr>
            <w:r>
              <w:rPr>
                <w:rFonts w:hint="eastAsia"/>
                <w:sz w:val="18"/>
                <w:szCs w:val="18"/>
              </w:rPr>
              <w:t xml:space="preserve">（2）需以实时方式向民政局居民家庭经济状况核对系统提供web services接口，根据传入的人员姓名和证件号码，实时查询医保报销信息，包括看病类别、医院名称、自费金额、大病保险金额、医疗救助金额、医保报销金额、病种、费用发生时间等信息。</w:t>
            </w:r>
            <w:r>
              <w:rPr>
                <w:sz w:val="18"/>
                <w:szCs w:val="18"/>
              </w:rPr>
            </w:r>
            <w:r/>
          </w:p>
          <w:p>
            <w:pPr>
              <w:pStyle w:val="998"/>
              <w:spacing w:after="120" w:line="300" w:lineRule="exact"/>
              <w:rPr>
                <w:sz w:val="18"/>
                <w:szCs w:val="18"/>
              </w:rPr>
            </w:pPr>
            <w:r>
              <w:rPr>
                <w:rFonts w:hint="eastAsia"/>
                <w:sz w:val="18"/>
                <w:szCs w:val="18"/>
              </w:rPr>
              <w:t xml:space="preserve">（3）需与南通市民政局承建厂商进行数据对接，制定对接标准、开发对接服务接口及实际接口联调。</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38</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省妇幼系统对接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全民健康信息平台需基于省妇幼系统提供的各项业务标准进行相关数据的采集工作，业务范围包括如下：</w:t>
            </w:r>
            <w:r>
              <w:rPr>
                <w:sz w:val="18"/>
                <w:szCs w:val="18"/>
              </w:rPr>
            </w:r>
            <w:r/>
          </w:p>
          <w:p>
            <w:pPr>
              <w:pStyle w:val="998"/>
              <w:spacing w:after="120" w:line="300" w:lineRule="exact"/>
              <w:rPr>
                <w:sz w:val="18"/>
                <w:szCs w:val="18"/>
              </w:rPr>
            </w:pPr>
            <w:r>
              <w:rPr>
                <w:rFonts w:hint="eastAsia"/>
                <w:sz w:val="18"/>
                <w:szCs w:val="18"/>
              </w:rPr>
              <w:t xml:space="preserve">（1）妇女保健（包括：妇女基本信息、孕妇建卡、产前信息、产后访视、产后42天检查信息、高危孕产妇管理）。</w:t>
            </w:r>
            <w:r>
              <w:rPr>
                <w:sz w:val="18"/>
                <w:szCs w:val="18"/>
              </w:rPr>
            </w:r>
            <w:r/>
          </w:p>
          <w:p>
            <w:pPr>
              <w:pStyle w:val="998"/>
              <w:spacing w:after="120" w:line="300" w:lineRule="exact"/>
              <w:rPr>
                <w:sz w:val="18"/>
                <w:szCs w:val="18"/>
              </w:rPr>
            </w:pPr>
            <w:r>
              <w:rPr>
                <w:rFonts w:hint="eastAsia"/>
                <w:sz w:val="18"/>
                <w:szCs w:val="18"/>
              </w:rPr>
              <w:t xml:space="preserve">（2）儿童保健（包括儿童基本信息、新生儿疾病筛查、儿童健康体检、体弱儿童管理、出生缺陷监测、新生儿访视）。</w:t>
            </w:r>
            <w:r>
              <w:rPr>
                <w:sz w:val="18"/>
                <w:szCs w:val="18"/>
              </w:rPr>
            </w:r>
            <w:r/>
          </w:p>
          <w:p>
            <w:pPr>
              <w:pStyle w:val="998"/>
              <w:spacing w:after="120" w:line="300" w:lineRule="exact"/>
              <w:rPr>
                <w:sz w:val="18"/>
                <w:szCs w:val="18"/>
              </w:rPr>
            </w:pPr>
            <w:r>
              <w:rPr>
                <w:rFonts w:hint="eastAsia"/>
                <w:sz w:val="18"/>
                <w:szCs w:val="18"/>
              </w:rPr>
              <w:t xml:space="preserve">（3）相关采集内容建成稳定的定时采集机制。</w:t>
            </w:r>
            <w:r>
              <w:rPr>
                <w:sz w:val="18"/>
                <w:szCs w:val="18"/>
              </w:rPr>
            </w:r>
            <w:r/>
          </w:p>
          <w:p>
            <w:pPr>
              <w:pStyle w:val="998"/>
              <w:spacing w:after="120" w:line="300" w:lineRule="exact"/>
              <w:rPr>
                <w:sz w:val="18"/>
                <w:szCs w:val="18"/>
              </w:rPr>
            </w:pPr>
            <w:r>
              <w:rPr>
                <w:rFonts w:hint="eastAsia"/>
                <w:sz w:val="18"/>
                <w:szCs w:val="18"/>
              </w:rPr>
              <w:t xml:space="preserve">（4）提供相关全民健康信息平台的业务系统查询和统计功能。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39</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健康南通 APP 与苏服办（南通）APP对接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sz w:val="18"/>
                <w:szCs w:val="18"/>
              </w:rPr>
              <w:t xml:space="preserve">需将下列功能接入南通政务公共服务平台苏服办（南通）APP中，主要包括：</w:t>
            </w:r>
            <w:r>
              <w:rPr>
                <w:sz w:val="18"/>
                <w:szCs w:val="18"/>
              </w:rPr>
            </w:r>
            <w:r/>
          </w:p>
          <w:p>
            <w:pPr>
              <w:pStyle w:val="998"/>
              <w:spacing w:after="120" w:line="300" w:lineRule="exact"/>
              <w:rPr>
                <w:sz w:val="18"/>
                <w:szCs w:val="18"/>
              </w:rPr>
            </w:pPr>
            <w:r>
              <w:rPr>
                <w:rFonts w:hint="eastAsia"/>
                <w:sz w:val="18"/>
                <w:szCs w:val="18"/>
              </w:rPr>
              <w:t xml:space="preserve">（1）“附近药房”功能</w:t>
            </w:r>
            <w:r>
              <w:rPr>
                <w:sz w:val="18"/>
                <w:szCs w:val="18"/>
              </w:rPr>
            </w:r>
            <w:r/>
          </w:p>
          <w:p>
            <w:pPr>
              <w:pStyle w:val="998"/>
              <w:spacing w:after="120" w:line="300" w:lineRule="exact"/>
              <w:rPr>
                <w:sz w:val="18"/>
                <w:szCs w:val="18"/>
              </w:rPr>
            </w:pPr>
            <w:r>
              <w:rPr>
                <w:rFonts w:hint="eastAsia"/>
                <w:sz w:val="18"/>
                <w:szCs w:val="18"/>
              </w:rPr>
              <w:t xml:space="preserve">利用LBS功能获得使用者的位置信息，同步查询周边药店的功能。</w:t>
            </w:r>
            <w:r>
              <w:rPr>
                <w:sz w:val="18"/>
                <w:szCs w:val="18"/>
              </w:rPr>
            </w:r>
            <w:r/>
          </w:p>
          <w:p>
            <w:pPr>
              <w:pStyle w:val="998"/>
              <w:spacing w:after="120" w:line="300" w:lineRule="exact"/>
              <w:rPr>
                <w:sz w:val="18"/>
                <w:szCs w:val="18"/>
              </w:rPr>
            </w:pPr>
            <w:r>
              <w:rPr>
                <w:rFonts w:hint="eastAsia"/>
                <w:sz w:val="18"/>
                <w:szCs w:val="18"/>
              </w:rPr>
              <w:t xml:space="preserve">（2）“候诊查询”功能</w:t>
            </w:r>
            <w:r>
              <w:rPr>
                <w:sz w:val="18"/>
                <w:szCs w:val="18"/>
              </w:rPr>
            </w:r>
            <w:r/>
          </w:p>
          <w:p>
            <w:pPr>
              <w:pStyle w:val="998"/>
              <w:spacing w:after="120" w:line="300" w:lineRule="exact"/>
              <w:rPr>
                <w:rFonts w:hint="eastAsia"/>
                <w:sz w:val="18"/>
                <w:szCs w:val="18"/>
              </w:rPr>
            </w:pPr>
            <w:r>
              <w:rPr>
                <w:rFonts w:hint="eastAsia"/>
                <w:sz w:val="18"/>
                <w:szCs w:val="18"/>
              </w:rPr>
              <w:t xml:space="preserve">针对群众需求最强烈的儿科候诊情况，开放群众实时查询妇幼保健院儿科的当前候诊人数和排队情况。</w:t>
            </w:r>
            <w:r>
              <w:rPr>
                <w:rFonts w:hint="eastAsia"/>
                <w:sz w:val="18"/>
                <w:szCs w:val="18"/>
              </w:rPr>
            </w:r>
            <w:r/>
          </w:p>
          <w:p>
            <w:pPr>
              <w:pStyle w:val="998"/>
              <w:spacing w:after="120" w:line="300" w:lineRule="exact"/>
              <w:rPr>
                <w:sz w:val="18"/>
                <w:szCs w:val="18"/>
              </w:rPr>
            </w:pPr>
            <w:r>
              <w:rPr>
                <w:rFonts w:hint="eastAsia"/>
                <w:sz w:val="18"/>
                <w:szCs w:val="18"/>
              </w:rPr>
              <w:t xml:space="preserve">（3）“短缺药品查询”功能</w:t>
            </w:r>
            <w:r>
              <w:rPr>
                <w:sz w:val="18"/>
                <w:szCs w:val="18"/>
              </w:rPr>
            </w:r>
            <w:r/>
          </w:p>
          <w:p>
            <w:pPr>
              <w:pStyle w:val="998"/>
              <w:spacing w:after="120" w:line="300" w:lineRule="exact"/>
              <w:rPr>
                <w:sz w:val="18"/>
                <w:szCs w:val="18"/>
              </w:rPr>
            </w:pPr>
            <w:r>
              <w:rPr>
                <w:rFonts w:hint="eastAsia"/>
                <w:sz w:val="18"/>
                <w:szCs w:val="18"/>
              </w:rPr>
              <w:t xml:space="preserve">针对群众反映强烈的特殊、罕见、特需药品难以采购的痛点开发的便民应用。</w:t>
            </w:r>
            <w:r>
              <w:rPr>
                <w:sz w:val="18"/>
                <w:szCs w:val="18"/>
              </w:rPr>
            </w:r>
            <w:r/>
          </w:p>
          <w:p>
            <w:pPr>
              <w:pStyle w:val="998"/>
              <w:spacing w:after="120" w:line="300" w:lineRule="exact"/>
              <w:rPr>
                <w:rFonts w:hint="eastAsia"/>
                <w:b/>
                <w:bCs/>
              </w:rPr>
            </w:pPr>
            <w:r>
              <w:rPr>
                <w:rFonts w:hint="eastAsia"/>
                <w:b/>
                <w:bCs/>
                <w:sz w:val="18"/>
                <w:szCs w:val="18"/>
              </w:rPr>
              <w:t xml:space="preserve">注：须提供信息系统功能截图佐证，不提供不得分。</w:t>
            </w:r>
            <w:r>
              <w:rPr>
                <w:rFonts w:hint="eastAsia"/>
                <w:b/>
                <w:bCs/>
              </w:rPr>
            </w:r>
            <w:r/>
          </w:p>
        </w:tc>
        <w:tc>
          <w:tcPr>
            <w:tcW w:w="413" w:type="dxa"/>
            <w:vAlign w:val="center"/>
            <w:textDirection w:val="lrTb"/>
            <w:noWrap w:val="false"/>
          </w:tcPr>
          <w:p>
            <w:pPr>
              <w:pStyle w:val="998"/>
              <w:spacing w:after="120" w:line="300" w:lineRule="exact"/>
              <w:rPr>
                <w:b/>
                <w:bCs/>
                <w:color w:val="000000"/>
                <w:sz w:val="18"/>
                <w:szCs w:val="18"/>
              </w:rPr>
            </w:pPr>
            <w:r>
              <w:rPr>
                <w:rFonts w:eastAsia="仿宋"/>
                <w:color w:val="000000"/>
                <w:sz w:val="20"/>
              </w:rPr>
              <w:t xml:space="preserve">▲</w:t>
            </w: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十、医疗统计服务</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lang w:bidi="ar"/>
              </w:rPr>
              <w:t xml:space="preserve">医疗统计服务适配改造，旨在重新改造程序代码以确保其与新架构兼容，支撑国产化环境中构建一个多维度、可视化的医疗数据决策分析体系。</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40</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医疗评价指标</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（1）医疗指标建设，需实现对医政处、财务处、疾控处、基妇处、规信处等关键业务处室，以及平台接入的区县平台、省管医院等医疗单位的各类关键统计考核指标体系的构建.</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（2）指标需支持同比、环比、占比、横比、数据钻取等一系列个性化的展现、分析方式。</w:t>
            </w:r>
            <w:r>
              <w:rPr>
                <w:sz w:val="18"/>
                <w:szCs w:val="18"/>
                <w:lang w:bidi="ar"/>
              </w:rPr>
            </w:r>
            <w:r/>
          </w:p>
          <w:p>
            <w:pPr>
              <w:pStyle w:val="998"/>
              <w:spacing w:line="300" w:lineRule="exact"/>
              <w:widowControl/>
              <w:rPr>
                <w:b/>
                <w:bCs/>
                <w:color w:val="000000"/>
                <w:sz w:val="18"/>
                <w:szCs w:val="18"/>
              </w:rPr>
            </w:pPr>
            <w:r>
              <w:rPr>
                <w:rFonts w:hint="eastAsia"/>
                <w:sz w:val="18"/>
                <w:szCs w:val="18"/>
                <w:lang w:bidi="ar"/>
              </w:rPr>
              <w:t xml:space="preserve">（3）统计指标需支持根据卫生健康业务条线实际需求动态调整。</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41</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大屏幕展示</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（1）需支持对各类关键性指标进行“上屏管理”。</w:t>
            </w:r>
            <w:r>
              <w:rPr>
                <w:sz w:val="18"/>
                <w:szCs w:val="18"/>
                <w:lang w:bidi="ar"/>
              </w:rPr>
            </w:r>
            <w:r/>
          </w:p>
          <w:p>
            <w:pPr>
              <w:pStyle w:val="998"/>
              <w:spacing w:line="300" w:lineRule="exact"/>
              <w:widowControl/>
              <w:rPr>
                <w:sz w:val="18"/>
                <w:szCs w:val="18"/>
              </w:rPr>
            </w:pPr>
            <w:r>
              <w:rPr>
                <w:rFonts w:hint="eastAsia"/>
                <w:sz w:val="18"/>
                <w:szCs w:val="18"/>
                <w:lang w:bidi="ar"/>
              </w:rPr>
              <w:t xml:space="preserve">（2）需支持通过机关内部设立的大屏幕显示器，对平台的运行情况、数据流转情况、各类关键指标等进行实时展现。</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42</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统计汇总报表</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（1）需支持各类决策数据，在相关主题合理分类的基础上进行综合查询和统计汇总功能；</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（2）需支持各类决策数据的实时进展表和汇总统计表的查询和展示功能。</w:t>
            </w:r>
            <w:r>
              <w:rPr>
                <w:sz w:val="18"/>
                <w:szCs w:val="18"/>
                <w:lang w:bidi="ar"/>
              </w:rPr>
            </w:r>
            <w:r/>
          </w:p>
          <w:p>
            <w:pPr>
              <w:pStyle w:val="998"/>
              <w:spacing w:line="300" w:lineRule="exact"/>
              <w:widowControl/>
              <w:rPr>
                <w:sz w:val="18"/>
                <w:szCs w:val="18"/>
              </w:rPr>
            </w:pPr>
            <w:r>
              <w:rPr>
                <w:rFonts w:hint="eastAsia"/>
                <w:sz w:val="18"/>
                <w:szCs w:val="18"/>
                <w:lang w:bidi="ar"/>
              </w:rPr>
              <w:t xml:space="preserve">（3）决策数据应包括各类疾病预防控制、医疗服务等公共卫生数据，以及在决策过程中产生的各类数据。</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4</w:t>
            </w:r>
            <w:r>
              <w:rPr>
                <w:b/>
                <w:bCs/>
                <w:sz w:val="18"/>
                <w:szCs w:val="18"/>
              </w:rPr>
              <w:t xml:space="preserve">3</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绩效考核</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（1）需基于平台，以市属公立医院的运营绩效、管理工作等为目标，以南通各市属医院实际情况为基准，结合参照上海等医疗高地的相关考核标准，建立绩效考核指标体系。</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（2）需在绩效考核指标体系的基础上，建设面向市属公立医院的绩效考核应用。</w:t>
            </w:r>
            <w:r>
              <w:rPr>
                <w:sz w:val="18"/>
                <w:szCs w:val="18"/>
                <w:lang w:bidi="ar"/>
              </w:rPr>
            </w:r>
            <w:r/>
          </w:p>
          <w:p>
            <w:pPr>
              <w:pStyle w:val="998"/>
              <w:spacing w:line="300" w:lineRule="exact"/>
              <w:widowControl/>
              <w:rPr>
                <w:sz w:val="18"/>
                <w:szCs w:val="18"/>
              </w:rPr>
            </w:pPr>
            <w:r>
              <w:rPr>
                <w:rFonts w:hint="eastAsia"/>
                <w:sz w:val="18"/>
                <w:szCs w:val="18"/>
                <w:lang w:bidi="ar"/>
              </w:rPr>
              <w:t xml:space="preserve">（3）系统需提供总体概览、图报表展示、管理者驾驶舱等功能，展现相关的考核指标。</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十一、健康门户</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健康门户建设适配改造，旨在重新改造程序代码以确保其与新架构兼容，支撑国产化环境中构建一个南通市卫健委统一小程序门户，整合所有委属小程序，实现“一入口通办”，同时实现各小程序间数据互联。</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44</w:t>
            </w:r>
            <w:r>
              <w:rPr>
                <w:b/>
                <w:bCs/>
                <w:sz w:val="18"/>
                <w:szCs w:val="18"/>
              </w:rPr>
            </w:r>
            <w:r/>
          </w:p>
        </w:tc>
        <w:tc>
          <w:tcPr>
            <w:tcW w:w="4196" w:type="dxa"/>
            <w:vAlign w:val="center"/>
            <w:textDirection w:val="lrTb"/>
            <w:noWrap w:val="false"/>
          </w:tcPr>
          <w:p>
            <w:pPr>
              <w:pStyle w:val="998"/>
              <w:spacing w:line="300" w:lineRule="exact"/>
              <w:widowControl/>
              <w:rPr>
                <w:b/>
                <w:bCs/>
                <w:sz w:val="18"/>
                <w:szCs w:val="18"/>
              </w:rPr>
            </w:pPr>
            <w:r>
              <w:rPr>
                <w:rFonts w:hint="eastAsia"/>
                <w:sz w:val="18"/>
                <w:szCs w:val="18"/>
                <w:lang w:bidi="ar"/>
              </w:rPr>
              <w:t xml:space="preserve">“健康南通” 小程序统一门户</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319"/>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小程序聚合</w:t>
            </w:r>
            <w:r>
              <w:rPr>
                <w:sz w:val="18"/>
                <w:szCs w:val="18"/>
              </w:rPr>
            </w:r>
            <w:r/>
          </w:p>
          <w:p>
            <w:pPr>
              <w:pStyle w:val="998"/>
              <w:spacing w:line="300" w:lineRule="exact"/>
              <w:widowControl/>
              <w:rPr>
                <w:sz w:val="18"/>
                <w:szCs w:val="18"/>
              </w:rPr>
            </w:pPr>
            <w:r>
              <w:rPr>
                <w:rFonts w:hint="eastAsia"/>
                <w:sz w:val="18"/>
                <w:szCs w:val="18"/>
              </w:rPr>
              <w:t xml:space="preserve">1）分类展示体系</w:t>
            </w:r>
            <w:r>
              <w:rPr>
                <w:sz w:val="18"/>
                <w:szCs w:val="18"/>
              </w:rPr>
            </w:r>
            <w:r/>
          </w:p>
          <w:p>
            <w:pPr>
              <w:pStyle w:val="998"/>
              <w:spacing w:line="300" w:lineRule="exact"/>
              <w:widowControl/>
              <w:rPr>
                <w:sz w:val="18"/>
                <w:szCs w:val="18"/>
              </w:rPr>
            </w:pPr>
            <w:r>
              <w:rPr>
                <w:rFonts w:hint="eastAsia"/>
                <w:sz w:val="18"/>
                <w:szCs w:val="18"/>
              </w:rPr>
              <w:t xml:space="preserve">需按照服务类型将接入的小程序分为“健康管理”、“政策资讯”、“便民服务”三大类，每类下按使用频率排序展示小程序。</w:t>
            </w:r>
            <w:r>
              <w:rPr>
                <w:sz w:val="18"/>
                <w:szCs w:val="18"/>
              </w:rPr>
            </w:r>
            <w:r/>
          </w:p>
          <w:p>
            <w:pPr>
              <w:pStyle w:val="998"/>
              <w:spacing w:line="300" w:lineRule="exact"/>
              <w:widowControl/>
              <w:rPr>
                <w:sz w:val="18"/>
                <w:szCs w:val="18"/>
              </w:rPr>
            </w:pPr>
            <w:r>
              <w:rPr>
                <w:rFonts w:hint="eastAsia"/>
                <w:sz w:val="18"/>
                <w:szCs w:val="18"/>
              </w:rPr>
              <w:t xml:space="preserve">2）小程序信息展示</w:t>
            </w:r>
            <w:r>
              <w:rPr>
                <w:sz w:val="18"/>
                <w:szCs w:val="18"/>
              </w:rPr>
            </w:r>
            <w:r/>
          </w:p>
          <w:p>
            <w:pPr>
              <w:pStyle w:val="998"/>
              <w:spacing w:line="300" w:lineRule="exact"/>
              <w:widowControl/>
              <w:rPr>
                <w:sz w:val="18"/>
                <w:szCs w:val="18"/>
              </w:rPr>
            </w:pPr>
            <w:r>
              <w:rPr>
                <w:rFonts w:hint="eastAsia"/>
                <w:sz w:val="18"/>
                <w:szCs w:val="18"/>
              </w:rPr>
              <w:t xml:space="preserve">需支持每个小程序的图标、名称、简介、核心功能描述、使用人数、用户评分（1-5 分）的信息展示；</w:t>
            </w:r>
            <w:r>
              <w:rPr>
                <w:sz w:val="18"/>
                <w:szCs w:val="18"/>
              </w:rPr>
            </w:r>
            <w:r/>
          </w:p>
          <w:p>
            <w:pPr>
              <w:pStyle w:val="998"/>
              <w:spacing w:after="120" w:line="300" w:lineRule="exact"/>
              <w:rPr>
                <w:sz w:val="18"/>
                <w:szCs w:val="18"/>
              </w:rPr>
            </w:pPr>
            <w:r>
              <w:rPr>
                <w:rFonts w:hint="eastAsia"/>
                <w:sz w:val="18"/>
                <w:szCs w:val="18"/>
              </w:rPr>
              <w:t xml:space="preserve">需支持用户查看小程序详细介绍，帮助用户了解小程序功能。</w:t>
            </w:r>
            <w:r>
              <w:rPr>
                <w:sz w:val="18"/>
                <w:szCs w:val="18"/>
              </w:rPr>
            </w:r>
            <w:r/>
          </w:p>
          <w:p>
            <w:pPr>
              <w:pStyle w:val="998"/>
              <w:spacing w:line="300" w:lineRule="exact"/>
              <w:widowControl/>
              <w:rPr>
                <w:sz w:val="18"/>
                <w:szCs w:val="18"/>
              </w:rPr>
            </w:pPr>
            <w:r>
              <w:rPr>
                <w:rFonts w:hint="eastAsia"/>
                <w:sz w:val="18"/>
                <w:szCs w:val="18"/>
              </w:rPr>
              <w:t xml:space="preserve">3）新上线小程序推荐</w:t>
            </w:r>
            <w:r>
              <w:rPr>
                <w:sz w:val="18"/>
                <w:szCs w:val="18"/>
              </w:rPr>
            </w:r>
            <w:r/>
          </w:p>
          <w:p>
            <w:pPr>
              <w:pStyle w:val="998"/>
              <w:spacing w:line="300" w:lineRule="exact"/>
              <w:widowControl/>
              <w:rPr>
                <w:sz w:val="18"/>
                <w:szCs w:val="18"/>
              </w:rPr>
            </w:pPr>
            <w:r>
              <w:rPr>
                <w:rFonts w:hint="eastAsia"/>
                <w:sz w:val="18"/>
                <w:szCs w:val="18"/>
              </w:rPr>
              <w:t xml:space="preserve">应在门户首页设置 “新上线”专区，需展示近 3 个月内新接入的小程序，附带上线时间、核心功能亮点，帮助用户及时发现新服务；</w:t>
            </w:r>
            <w:r>
              <w:rPr>
                <w:sz w:val="18"/>
                <w:szCs w:val="18"/>
              </w:rPr>
            </w:r>
            <w:r/>
          </w:p>
          <w:p>
            <w:pPr>
              <w:pStyle w:val="998"/>
              <w:spacing w:line="300" w:lineRule="exact"/>
              <w:widowControl/>
              <w:rPr>
                <w:sz w:val="18"/>
                <w:szCs w:val="18"/>
              </w:rPr>
            </w:pPr>
            <w:r>
              <w:rPr>
                <w:rFonts w:hint="eastAsia"/>
                <w:sz w:val="18"/>
                <w:szCs w:val="18"/>
              </w:rPr>
              <w:t xml:space="preserve">新小程序上线后，需支持通过推送通知告知用户。</w:t>
            </w:r>
            <w:r>
              <w:rPr>
                <w:sz w:val="18"/>
                <w:szCs w:val="18"/>
              </w:rPr>
            </w:r>
            <w:r/>
          </w:p>
          <w:p>
            <w:pPr>
              <w:pStyle w:val="998"/>
              <w:spacing w:line="300" w:lineRule="exact"/>
              <w:widowControl/>
              <w:rPr>
                <w:sz w:val="18"/>
                <w:szCs w:val="18"/>
              </w:rPr>
            </w:pPr>
            <w:r>
              <w:rPr>
                <w:rFonts w:hint="eastAsia"/>
                <w:sz w:val="18"/>
                <w:szCs w:val="18"/>
              </w:rPr>
              <w:t xml:space="preserve">4）小程序状态提示</w:t>
            </w:r>
            <w:r>
              <w:rPr>
                <w:sz w:val="18"/>
                <w:szCs w:val="18"/>
              </w:rPr>
            </w:r>
            <w:r/>
          </w:p>
          <w:p>
            <w:pPr>
              <w:pStyle w:val="998"/>
              <w:spacing w:line="300" w:lineRule="exact"/>
              <w:widowControl/>
              <w:rPr>
                <w:sz w:val="18"/>
                <w:szCs w:val="18"/>
              </w:rPr>
            </w:pPr>
            <w:r>
              <w:rPr>
                <w:rFonts w:hint="eastAsia"/>
                <w:sz w:val="18"/>
                <w:szCs w:val="18"/>
              </w:rPr>
              <w:t xml:space="preserve">需实时展示小程序运行状态（正常、维护中、故障），维护中或故障的小程序标注预计恢复时间；</w:t>
            </w:r>
            <w:r>
              <w:rPr>
                <w:sz w:val="18"/>
                <w:szCs w:val="18"/>
              </w:rPr>
            </w:r>
            <w:r/>
          </w:p>
          <w:p>
            <w:pPr>
              <w:pStyle w:val="998"/>
              <w:spacing w:line="300" w:lineRule="exact"/>
              <w:widowControl/>
              <w:rPr>
                <w:sz w:val="18"/>
                <w:szCs w:val="18"/>
              </w:rPr>
            </w:pPr>
            <w:r>
              <w:rPr>
                <w:rFonts w:hint="eastAsia"/>
                <w:sz w:val="18"/>
                <w:szCs w:val="18"/>
              </w:rPr>
              <w:t xml:space="preserve">当小程序进行版本更新时，需提示用户更新内容，建议更新后使用以获得更好体验。</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45</w:t>
            </w:r>
            <w:r>
              <w:rPr>
                <w:b/>
                <w:bCs/>
                <w:color w:val="000000"/>
                <w:sz w:val="18"/>
                <w:szCs w:val="18"/>
              </w:rPr>
            </w:r>
            <w:r/>
          </w:p>
        </w:tc>
        <w:tc>
          <w:tcPr>
            <w:tcW w:w="4196" w:type="dxa"/>
            <w:vAlign w:val="center"/>
            <w:textDirection w:val="lrTb"/>
            <w:noWrap w:val="false"/>
          </w:tcPr>
          <w:p>
            <w:pPr>
              <w:pStyle w:val="998"/>
              <w:spacing w:line="300" w:lineRule="exact"/>
              <w:widowControl/>
              <w:rPr>
                <w:b/>
                <w:bCs/>
                <w:sz w:val="18"/>
                <w:szCs w:val="18"/>
              </w:rPr>
            </w:pPr>
            <w:r>
              <w:rPr>
                <w:rFonts w:hint="eastAsia"/>
                <w:b/>
                <w:bCs/>
                <w:sz w:val="18"/>
                <w:szCs w:val="18"/>
              </w:rPr>
              <w:t xml:space="preserve">数据互联</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1）用户身份统一认证</w:t>
            </w:r>
            <w:r>
              <w:rPr>
                <w:sz w:val="18"/>
                <w:szCs w:val="18"/>
              </w:rPr>
            </w:r>
            <w:r/>
          </w:p>
          <w:p>
            <w:pPr>
              <w:pStyle w:val="998"/>
              <w:spacing w:after="120" w:line="300" w:lineRule="exact"/>
              <w:rPr>
                <w:sz w:val="18"/>
                <w:szCs w:val="18"/>
              </w:rPr>
            </w:pPr>
            <w:r>
              <w:rPr>
                <w:rFonts w:hint="eastAsia"/>
                <w:sz w:val="18"/>
                <w:szCs w:val="18"/>
              </w:rPr>
              <w:t xml:space="preserve">需建立统一用户身份认证体系，用户在“健康南通”门户完成注册登录后，访问接入的其他小程序无需重复注册登录，实现 “一次登录，多端通用”。</w:t>
            </w:r>
            <w:r>
              <w:rPr>
                <w:sz w:val="18"/>
                <w:szCs w:val="18"/>
              </w:rPr>
            </w:r>
            <w:r/>
          </w:p>
          <w:p>
            <w:pPr>
              <w:pStyle w:val="998"/>
              <w:spacing w:line="300" w:lineRule="exact"/>
              <w:widowControl/>
              <w:rPr>
                <w:sz w:val="18"/>
                <w:szCs w:val="18"/>
              </w:rPr>
            </w:pPr>
            <w:r>
              <w:rPr>
                <w:rFonts w:hint="eastAsia"/>
                <w:sz w:val="18"/>
                <w:szCs w:val="18"/>
              </w:rPr>
              <w:t xml:space="preserve">用户身份信息需通过加密方式在各小程序间共享，保障数据安全。</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46</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sz w:val="18"/>
                <w:szCs w:val="18"/>
              </w:rPr>
              <w:t xml:space="preserve">小程序接入与管理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1）接入标准说明</w:t>
            </w:r>
            <w:r>
              <w:rPr>
                <w:sz w:val="18"/>
                <w:szCs w:val="18"/>
              </w:rPr>
            </w:r>
            <w:r/>
          </w:p>
          <w:p>
            <w:pPr>
              <w:pStyle w:val="998"/>
              <w:spacing w:line="300" w:lineRule="exact"/>
              <w:widowControl/>
              <w:rPr>
                <w:sz w:val="18"/>
                <w:szCs w:val="18"/>
              </w:rPr>
            </w:pPr>
            <w:r>
              <w:rPr>
                <w:rFonts w:hint="eastAsia"/>
                <w:sz w:val="18"/>
                <w:szCs w:val="18"/>
              </w:rPr>
              <w:t xml:space="preserve">需制定《南通市卫健委小程序门户接入标准》，明确小程序接入的技术要求（如数据接口规范、安全防护标准）、功能要求（如用户体验标准、服务质量标准）、信息展示要求（如小程序简介、图标设计规范），确保接入的小程序符合统一规范。</w:t>
            </w:r>
            <w:r>
              <w:rPr>
                <w:sz w:val="18"/>
                <w:szCs w:val="18"/>
              </w:rPr>
            </w:r>
            <w:r/>
          </w:p>
          <w:p>
            <w:pPr>
              <w:pStyle w:val="998"/>
              <w:spacing w:line="300" w:lineRule="exact"/>
              <w:widowControl/>
              <w:rPr>
                <w:sz w:val="18"/>
                <w:szCs w:val="18"/>
              </w:rPr>
            </w:pPr>
            <w:r>
              <w:rPr>
                <w:rFonts w:hint="eastAsia"/>
                <w:sz w:val="18"/>
                <w:szCs w:val="18"/>
              </w:rPr>
              <w:t xml:space="preserve">2）接入流程规范</w:t>
            </w:r>
            <w:r>
              <w:rPr>
                <w:sz w:val="18"/>
                <w:szCs w:val="18"/>
              </w:rPr>
            </w:r>
            <w:r/>
          </w:p>
          <w:p>
            <w:pPr>
              <w:pStyle w:val="998"/>
              <w:spacing w:line="300" w:lineRule="exact"/>
              <w:widowControl/>
              <w:rPr>
                <w:sz w:val="18"/>
                <w:szCs w:val="18"/>
              </w:rPr>
            </w:pPr>
            <w:r>
              <w:rPr>
                <w:rFonts w:hint="eastAsia"/>
                <w:sz w:val="18"/>
                <w:szCs w:val="18"/>
              </w:rPr>
              <w:t xml:space="preserve">需建立小程序接入申请、审核、测试、上线流程，申请方（如委属事业单位、合作医疗机构）提交接入申请与相关材料（如小程序资质证明、功能说明），门户管理方在7个工作日内完成审核。</w:t>
            </w:r>
            <w:r>
              <w:rPr>
                <w:sz w:val="18"/>
                <w:szCs w:val="18"/>
              </w:rPr>
            </w:r>
            <w:r/>
          </w:p>
          <w:p>
            <w:pPr>
              <w:pStyle w:val="998"/>
              <w:spacing w:line="300" w:lineRule="exact"/>
              <w:widowControl/>
              <w:rPr>
                <w:sz w:val="18"/>
                <w:szCs w:val="18"/>
              </w:rPr>
            </w:pPr>
            <w:r>
              <w:rPr>
                <w:rFonts w:hint="eastAsia"/>
                <w:sz w:val="18"/>
                <w:szCs w:val="18"/>
              </w:rPr>
              <w:t xml:space="preserve">审核通过后进行需进行系统测试（测试周期不超过15个工作日），测试合格后正式上线。</w:t>
            </w:r>
            <w:r>
              <w:rPr>
                <w:sz w:val="18"/>
                <w:szCs w:val="18"/>
              </w:rPr>
            </w:r>
            <w:r/>
          </w:p>
          <w:p>
            <w:pPr>
              <w:pStyle w:val="998"/>
              <w:spacing w:line="300" w:lineRule="exact"/>
              <w:widowControl/>
              <w:rPr>
                <w:sz w:val="18"/>
                <w:szCs w:val="18"/>
              </w:rPr>
            </w:pPr>
            <w:r>
              <w:rPr>
                <w:rFonts w:hint="eastAsia"/>
                <w:sz w:val="18"/>
                <w:szCs w:val="18"/>
              </w:rPr>
              <w:t xml:space="preserve">上线前需进行安全评估，确保无安全隐患。</w:t>
            </w:r>
            <w:r>
              <w:rPr>
                <w:sz w:val="18"/>
                <w:szCs w:val="18"/>
              </w:rPr>
            </w:r>
            <w:r/>
          </w:p>
          <w:p>
            <w:pPr>
              <w:pStyle w:val="998"/>
              <w:spacing w:line="300" w:lineRule="exact"/>
              <w:widowControl/>
              <w:rPr>
                <w:sz w:val="18"/>
                <w:szCs w:val="18"/>
              </w:rPr>
            </w:pPr>
            <w:r>
              <w:rPr>
                <w:rFonts w:hint="eastAsia"/>
                <w:sz w:val="18"/>
                <w:szCs w:val="18"/>
              </w:rPr>
              <w:t xml:space="preserve">3）小程序运维管理</w:t>
            </w:r>
            <w:r>
              <w:rPr>
                <w:sz w:val="18"/>
                <w:szCs w:val="18"/>
              </w:rPr>
            </w:r>
            <w:r/>
          </w:p>
          <w:p>
            <w:pPr>
              <w:pStyle w:val="998"/>
              <w:spacing w:line="300" w:lineRule="exact"/>
              <w:widowControl/>
              <w:rPr>
                <w:sz w:val="18"/>
                <w:szCs w:val="18"/>
              </w:rPr>
            </w:pPr>
            <w:r>
              <w:rPr>
                <w:rFonts w:hint="eastAsia"/>
                <w:sz w:val="18"/>
                <w:szCs w:val="18"/>
              </w:rPr>
              <w:t xml:space="preserve">需支持对接入的小程序进行日常运维监控，包括运行状态监控、服务质量监控（如响应时间、故障率）。</w:t>
            </w:r>
            <w:r>
              <w:rPr>
                <w:sz w:val="18"/>
                <w:szCs w:val="18"/>
              </w:rPr>
            </w:r>
            <w:r/>
          </w:p>
          <w:p>
            <w:pPr>
              <w:pStyle w:val="998"/>
              <w:spacing w:line="300" w:lineRule="exact"/>
              <w:widowControl/>
              <w:rPr>
                <w:sz w:val="18"/>
                <w:szCs w:val="18"/>
              </w:rPr>
            </w:pPr>
            <w:r>
              <w:rPr>
                <w:rFonts w:hint="eastAsia"/>
                <w:sz w:val="18"/>
                <w:szCs w:val="18"/>
              </w:rPr>
              <w:t xml:space="preserve">需定期（如每月）对小程序进行安全检测，发现安全漏洞及时通知申请方修复。</w:t>
            </w:r>
            <w:r>
              <w:rPr>
                <w:sz w:val="18"/>
                <w:szCs w:val="18"/>
              </w:rPr>
            </w:r>
            <w:r/>
          </w:p>
          <w:p>
            <w:pPr>
              <w:pStyle w:val="998"/>
              <w:spacing w:line="300" w:lineRule="exact"/>
              <w:widowControl/>
              <w:rPr>
                <w:sz w:val="18"/>
                <w:szCs w:val="18"/>
              </w:rPr>
            </w:pPr>
            <w:r>
              <w:rPr>
                <w:rFonts w:hint="eastAsia"/>
                <w:sz w:val="18"/>
                <w:szCs w:val="18"/>
              </w:rPr>
              <w:t xml:space="preserve">小程序进行版本更新时，需提前向门户管理方报备，经审核测试后再上线更新。</w:t>
            </w:r>
            <w:r>
              <w:rPr>
                <w:sz w:val="18"/>
                <w:szCs w:val="18"/>
              </w:rPr>
            </w:r>
            <w:r/>
          </w:p>
          <w:p>
            <w:pPr>
              <w:pStyle w:val="998"/>
              <w:spacing w:line="300" w:lineRule="exact"/>
              <w:widowControl/>
              <w:rPr>
                <w:sz w:val="18"/>
                <w:szCs w:val="18"/>
              </w:rPr>
            </w:pPr>
            <w:r>
              <w:rPr>
                <w:rFonts w:hint="eastAsia"/>
                <w:sz w:val="18"/>
                <w:szCs w:val="18"/>
              </w:rPr>
              <w:t xml:space="preserve">4）小程序退出机制</w:t>
            </w:r>
            <w:r>
              <w:rPr>
                <w:sz w:val="18"/>
                <w:szCs w:val="18"/>
              </w:rPr>
            </w:r>
            <w:r/>
          </w:p>
          <w:p>
            <w:pPr>
              <w:pStyle w:val="998"/>
              <w:spacing w:line="300" w:lineRule="exact"/>
              <w:widowControl/>
              <w:rPr>
                <w:sz w:val="18"/>
                <w:szCs w:val="18"/>
              </w:rPr>
            </w:pPr>
            <w:r>
              <w:rPr>
                <w:rFonts w:hint="eastAsia"/>
                <w:sz w:val="18"/>
                <w:szCs w:val="18"/>
              </w:rPr>
              <w:t xml:space="preserve">当小程序服务终止、不符合接入标准或存在严重安全问题时，应启动退出流程。门户管理方需提前 7 个工作日通知申请方与用户，说明退出原因与时间；</w:t>
            </w:r>
            <w:r>
              <w:rPr>
                <w:sz w:val="18"/>
                <w:szCs w:val="18"/>
              </w:rPr>
            </w:r>
            <w:r/>
          </w:p>
          <w:p>
            <w:pPr>
              <w:pStyle w:val="998"/>
              <w:spacing w:line="300" w:lineRule="exact"/>
              <w:widowControl/>
              <w:rPr>
                <w:sz w:val="18"/>
                <w:szCs w:val="18"/>
              </w:rPr>
            </w:pPr>
            <w:r>
              <w:rPr>
                <w:rFonts w:hint="eastAsia"/>
                <w:sz w:val="18"/>
                <w:szCs w:val="18"/>
              </w:rPr>
              <w:t xml:space="preserve">退出后，小程序相关数据需按规定进行处理（如迁移至指定平台、匿名化保存），保障用户数据安全。</w:t>
            </w:r>
            <w:r>
              <w:rPr>
                <w:sz w:val="18"/>
                <w:szCs w:val="18"/>
              </w:rPr>
            </w:r>
            <w:r/>
          </w:p>
          <w:p>
            <w:pPr>
              <w:pStyle w:val="998"/>
              <w:spacing w:line="300" w:lineRule="exact"/>
              <w:widowControl/>
              <w:rPr>
                <w:sz w:val="18"/>
                <w:szCs w:val="18"/>
              </w:rPr>
            </w:pPr>
            <w:r>
              <w:rPr>
                <w:rFonts w:hint="eastAsia"/>
                <w:sz w:val="18"/>
                <w:szCs w:val="18"/>
              </w:rPr>
              <w:t xml:space="preserve">5）接入小程序统计</w:t>
            </w:r>
            <w:r>
              <w:rPr>
                <w:sz w:val="18"/>
                <w:szCs w:val="18"/>
              </w:rPr>
            </w:r>
            <w:r/>
          </w:p>
          <w:p>
            <w:pPr>
              <w:pStyle w:val="998"/>
              <w:spacing w:line="300" w:lineRule="exact"/>
              <w:widowControl/>
              <w:rPr>
                <w:sz w:val="18"/>
                <w:szCs w:val="18"/>
              </w:rPr>
            </w:pPr>
            <w:r>
              <w:rPr>
                <w:rFonts w:hint="eastAsia"/>
                <w:sz w:val="18"/>
                <w:szCs w:val="18"/>
              </w:rPr>
              <w:t xml:space="preserve">需建立接入小程序统计台账，记录小程序名称、申请方、接入时间、服务类型、使用人数、评价情况等信息；</w:t>
            </w:r>
            <w:r>
              <w:rPr>
                <w:sz w:val="18"/>
                <w:szCs w:val="18"/>
              </w:rPr>
            </w:r>
            <w:r/>
          </w:p>
          <w:p>
            <w:pPr>
              <w:pStyle w:val="998"/>
              <w:spacing w:after="120" w:line="300" w:lineRule="exact"/>
              <w:rPr>
                <w:sz w:val="18"/>
                <w:szCs w:val="18"/>
              </w:rPr>
            </w:pPr>
            <w:r>
              <w:rPr>
                <w:rFonts w:hint="eastAsia"/>
                <w:sz w:val="18"/>
                <w:szCs w:val="18"/>
              </w:rPr>
              <w:t xml:space="preserve">需支持定期（如每季度）生成统计报告，分析小程序使用情况、服务效果，为小程序管理与优化提供依据。</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十二、跨域试点工程</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跨域试点工程适配改造，旨在重新改造程序代码以确保其与新架构兼容，支撑国产化环境中构建跨区域卫生协同服务体系。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47</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跨域健康档案浏览器</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（1）注册对接：需识别在异地就诊的本地居民的信息标准，与本地的健康档案信息进行匹配，完成两地的数据对接工作。</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（2）标准对标对码：需统一两地间的标准，实现大数据量的对码工作。</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（3）医疗事件对接：需实现对门诊、住院、检验检查等事件的准确对接。</w:t>
            </w:r>
            <w:r>
              <w:rPr>
                <w:sz w:val="18"/>
                <w:szCs w:val="18"/>
                <w:lang w:bidi="ar"/>
              </w:rPr>
            </w:r>
            <w:r/>
          </w:p>
          <w:p>
            <w:pPr>
              <w:pStyle w:val="998"/>
              <w:spacing w:line="300" w:lineRule="exact"/>
              <w:widowControl/>
              <w:rPr>
                <w:b/>
                <w:bCs/>
                <w:color w:val="000000"/>
                <w:sz w:val="18"/>
                <w:szCs w:val="18"/>
              </w:rPr>
            </w:pPr>
            <w:r>
              <w:rPr>
                <w:rFonts w:hint="eastAsia"/>
                <w:sz w:val="18"/>
                <w:szCs w:val="18"/>
                <w:lang w:bidi="ar"/>
              </w:rPr>
              <w:t xml:space="preserve">（4）界面细节调整：需实现跨域健康档案浏览器可以在同一界面内根据时间轴展现居民在异地就诊的信息。</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48</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跨域转诊系统</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（1）系统需支持经过市属两家综合三甲和四家专科三甲医院（以下简称“定点医院”）的医生确认后，由医生直接通过跨域转诊系统申请上海预约平台的号源，进行预约挂号。</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（2）预约完成后，系统应通知南通全民健康信息平台进行数据准备，将病人的健康档案信息打包后，推送到上海大健康网，由大健康网将数据入库。</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（3）上海医院的医生接诊南通病人后，上海大健康网的智能提醒系统自动识别出库中已经存有该病人的南通就诊信息，通过弹窗形式提示医生可以进行调阅。</w:t>
            </w:r>
            <w:r>
              <w:rPr>
                <w:sz w:val="18"/>
                <w:szCs w:val="18"/>
                <w:lang w:bidi="ar"/>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49</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跨域远程医学平台对接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对接以三级医院为核心的跨域远程会诊转诊平台，实现与上海市远程医学中心等高端医疗资源对接。</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在远程医学平台建立接口，实现两地医学平台的对接工作，主要包含新增电子病历数据对接和新增会诊申请单数据接口。实现各医院电子病历部分的入院记录、会诊记录业务数据的对接。</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会诊申请单数据接口主要建设的内容包含：</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（1）调阅患者就诊信息列表接口：需实现通过居民身份证证件号查询该居民在医院历次接诊的记录。</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（2）调用患者详细病情接口：需实现在第一个接口基础上，通过就诊编号返回该就诊的详情信息。</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（3）转诊确认报告（会诊报告）数据接口：需支持会诊（转诊确认）结束后，由上海方面将数据发送给南通远程医学中心。</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其他实施内容：</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（1）跨域转诊业务接口建设与远程平台对接；</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（2）跨域会诊记录数据接口建设与远程平台对接；</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（3）远程平台调阅全民健康信息平台信息；</w:t>
            </w:r>
            <w:r>
              <w:rPr>
                <w:sz w:val="18"/>
                <w:szCs w:val="18"/>
                <w:lang w:bidi="ar"/>
              </w:rPr>
            </w:r>
            <w:r/>
          </w:p>
          <w:p>
            <w:pPr>
              <w:pStyle w:val="998"/>
              <w:spacing w:line="300" w:lineRule="exact"/>
              <w:widowControl/>
              <w:rPr>
                <w:sz w:val="18"/>
                <w:szCs w:val="18"/>
              </w:rPr>
            </w:pPr>
            <w:r>
              <w:rPr>
                <w:rFonts w:hint="eastAsia"/>
                <w:sz w:val="18"/>
                <w:szCs w:val="18"/>
                <w:lang w:bidi="ar"/>
              </w:rPr>
              <w:t xml:space="preserve">（4）远程平台调阅南通健康档案调阅服务接口建设；</w:t>
            </w:r>
            <w:r>
              <w:rPr>
                <w:rFonts w:hint="eastAsia"/>
                <w:sz w:val="18"/>
                <w:szCs w:val="18"/>
                <w:lang w:bidi="ar"/>
              </w:rPr>
              <w:tab/>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50</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跨域公共卫生服务系统</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（1）针对户籍地在上海，入学前在南通进行养育的儿童，两地疾控部门能够进行信息共享，实现上海和南通两地的儿童疫苗接种信息的互联互通。</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（2）通过对儿童在上海的接种信息的获取，和儿童在南通接种信息的整合，南通全民健康信息平台需实现对儿童在两地接种信息的查询。</w:t>
            </w:r>
            <w:r>
              <w:rPr>
                <w:sz w:val="18"/>
                <w:szCs w:val="18"/>
                <w:lang w:bidi="ar"/>
              </w:rPr>
            </w:r>
            <w:r/>
          </w:p>
          <w:p>
            <w:pPr>
              <w:pStyle w:val="998"/>
              <w:spacing w:line="300" w:lineRule="exact"/>
              <w:widowControl/>
              <w:rPr>
                <w:sz w:val="18"/>
                <w:szCs w:val="18"/>
              </w:rPr>
            </w:pPr>
            <w:r>
              <w:rPr>
                <w:rFonts w:hint="eastAsia"/>
                <w:sz w:val="18"/>
                <w:szCs w:val="18"/>
                <w:lang w:bidi="ar"/>
              </w:rPr>
              <w:t xml:space="preserve">（3）需支持推送儿童的完整接种信息到上海，供上海方查询。</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5</w:t>
            </w:r>
            <w:r>
              <w:rPr>
                <w:b/>
                <w:bCs/>
                <w:sz w:val="18"/>
                <w:szCs w:val="18"/>
              </w:rPr>
              <w:t xml:space="preserve">1</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跨域数据监控</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（1）需支持卫生监管部门对跨域数据交换信息情况的实时状态的掌握，建设数据交换信息展示系统。</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（2）通过数据交换系统需支持展示跨域间国家平台、江苏省平台、上海健康网、南通市平台的实时数据交换流转情况。</w:t>
            </w:r>
            <w:r>
              <w:rPr>
                <w:sz w:val="18"/>
                <w:szCs w:val="18"/>
                <w:lang w:bidi="ar"/>
              </w:rPr>
            </w:r>
            <w:r/>
          </w:p>
          <w:p>
            <w:pPr>
              <w:pStyle w:val="998"/>
              <w:spacing w:line="300" w:lineRule="exact"/>
              <w:widowControl/>
              <w:rPr>
                <w:sz w:val="18"/>
                <w:szCs w:val="18"/>
              </w:rPr>
            </w:pPr>
            <w:r>
              <w:rPr>
                <w:rFonts w:hint="eastAsia"/>
                <w:sz w:val="18"/>
                <w:szCs w:val="18"/>
                <w:lang w:bidi="ar"/>
              </w:rPr>
              <w:t xml:space="preserve">（3）监控界面应支持查看每日不同平台数据发送与接收的详细情况。</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52</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数据交换接口建设</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（1）需提供数据交换体系建设。</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（2）需提供数据对接体系建设。</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（3）需提供数据接口建设。</w:t>
            </w:r>
            <w:r>
              <w:rPr>
                <w:sz w:val="18"/>
                <w:szCs w:val="18"/>
                <w:lang w:bidi="ar"/>
              </w:rPr>
            </w:r>
            <w:r/>
          </w:p>
          <w:p>
            <w:pPr>
              <w:pStyle w:val="998"/>
              <w:spacing w:line="300" w:lineRule="exact"/>
              <w:widowControl/>
              <w:rPr>
                <w:sz w:val="18"/>
                <w:szCs w:val="18"/>
              </w:rPr>
            </w:pPr>
            <w:r>
              <w:rPr>
                <w:rFonts w:hint="eastAsia"/>
                <w:sz w:val="18"/>
                <w:szCs w:val="18"/>
                <w:lang w:bidi="ar"/>
              </w:rPr>
              <w:t xml:space="preserve">（4）需提供转诊服务接口建设。</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十三</w:t>
            </w:r>
            <w:r>
              <w:rPr>
                <w:rFonts w:hint="eastAsia"/>
              </w:rPr>
              <w:t xml:space="preserve">、</w:t>
            </w:r>
            <w:r>
              <w:rPr>
                <w:rFonts w:hint="eastAsia"/>
                <w:b/>
                <w:bCs/>
                <w:sz w:val="20"/>
                <w:szCs w:val="20"/>
                <w:lang w:bidi="ar"/>
              </w:rPr>
              <w:t xml:space="preserve">医疗服务综合监管</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医疗服务综合监管适配改造，旨在重新改造程序代码以确保其与新架构兼容，支撑国产化环境中构建一个全流程、智能化的医疗监管体系。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53</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数据采集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rPr>
              <w:t xml:space="preserve">（</w:t>
            </w:r>
            <w:r>
              <w:rPr>
                <w:rFonts w:hint="eastAsia"/>
                <w:sz w:val="18"/>
                <w:szCs w:val="18"/>
                <w:lang w:bidi="ar"/>
              </w:rPr>
              <w:t xml:space="preserve">1）平台采用的数据采集方式，需包含数据的自动交换，以及平台和医院信息系统相关接口建设。系统主要采集医院HIS临床数据等结果类信息，以作为业务监管运营分析有效组成。</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（2）根据江苏省相关标准规范，需建立数据采集、转换、存储和传输机制，并建立各项接口，实现与监管系统的全面对接。</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（3）根据要求采集内容应包括：患者基本信息、患者挂号记录、患者就诊记录、西药处方记录、中药处方记录、患者入院记录、住院病程记录、患者出院小结、住院病案首页、检验信息记录， 检查信息记录、患者手术记录、治疗处置记录、患者输血记录、耗材使用记录、医疗收费记录等。</w:t>
            </w:r>
            <w:r>
              <w:rPr>
                <w:sz w:val="18"/>
                <w:szCs w:val="18"/>
                <w:lang w:bidi="ar"/>
              </w:rPr>
            </w:r>
            <w:r/>
          </w:p>
          <w:p>
            <w:pPr>
              <w:pStyle w:val="998"/>
              <w:spacing w:line="300" w:lineRule="exact"/>
              <w:widowControl/>
              <w:rPr>
                <w:b/>
                <w:bCs/>
                <w:color w:val="000000"/>
                <w:sz w:val="18"/>
                <w:szCs w:val="18"/>
              </w:rPr>
            </w:pPr>
            <w:r>
              <w:rPr>
                <w:rFonts w:hint="eastAsia"/>
                <w:sz w:val="18"/>
                <w:szCs w:val="18"/>
                <w:lang w:bidi="ar"/>
              </w:rPr>
              <w:t xml:space="preserve">（4）具体采集项目、数据结构、代码参见江苏省卫生健康委员会苏卫办医政〔2019〕33号文，“关于印发《江苏省医疗服务综合监管系统 分级部署实施方案》的通知”之附件3“江苏省人口健康信息平台共享数据集（医疗部分）”。</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54</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数据质量控制</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（1）数据质量控制需实现包含数据校验、数据的上报提醒、补报申请、上报监控、上报情况的评估。</w:t>
            </w:r>
            <w:r>
              <w:rPr>
                <w:sz w:val="18"/>
                <w:szCs w:val="18"/>
                <w:lang w:bidi="ar"/>
              </w:rPr>
            </w:r>
            <w:r/>
          </w:p>
          <w:p>
            <w:pPr>
              <w:pStyle w:val="998"/>
              <w:spacing w:line="300" w:lineRule="exact"/>
              <w:widowControl/>
              <w:rPr>
                <w:sz w:val="18"/>
                <w:szCs w:val="18"/>
              </w:rPr>
            </w:pPr>
            <w:r>
              <w:rPr>
                <w:rFonts w:hint="eastAsia"/>
                <w:sz w:val="18"/>
                <w:szCs w:val="18"/>
                <w:lang w:bidi="ar"/>
              </w:rPr>
              <w:t xml:space="preserve">（2）数据质量监控体系需实现图形化监控，一体化管理，建立数据采集详细日志。</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55</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省医疗服务监管系统南通本地对接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lang w:bidi="ar"/>
              </w:rPr>
            </w:pPr>
            <w:r>
              <w:rPr>
                <w:rFonts w:hint="eastAsia"/>
                <w:sz w:val="18"/>
                <w:szCs w:val="18"/>
              </w:rPr>
              <w:t xml:space="preserve">（</w:t>
            </w:r>
            <w:r>
              <w:rPr>
                <w:rFonts w:hint="eastAsia"/>
                <w:sz w:val="18"/>
                <w:szCs w:val="18"/>
                <w:lang w:bidi="ar"/>
              </w:rPr>
              <w:t xml:space="preserve">1）需配合《江苏省医疗服务综合监管系统》南通本地化数据支撑，提供除三级医疗机构之外的，全市二级及以下医疗机构的数据采集服务。</w:t>
            </w:r>
            <w:r>
              <w:rPr>
                <w:sz w:val="18"/>
                <w:szCs w:val="18"/>
                <w:lang w:bidi="ar"/>
              </w:rPr>
            </w:r>
            <w:r/>
          </w:p>
          <w:p>
            <w:pPr>
              <w:pStyle w:val="998"/>
              <w:spacing w:line="300" w:lineRule="exact"/>
              <w:widowControl/>
              <w:rPr>
                <w:sz w:val="18"/>
                <w:szCs w:val="18"/>
                <w:lang w:bidi="ar"/>
              </w:rPr>
            </w:pPr>
            <w:r>
              <w:rPr>
                <w:rFonts w:hint="eastAsia"/>
                <w:sz w:val="18"/>
                <w:szCs w:val="18"/>
                <w:lang w:bidi="ar"/>
              </w:rPr>
              <w:t xml:space="preserve">（2）采集的数据需按照苏卫办医政〔2019〕33号文及其各附件要求的标准规范进行对照，并上传至对应前置机，供医疗监管系统建设厂商进行数据分析使用。</w:t>
            </w:r>
            <w:r>
              <w:rPr>
                <w:sz w:val="18"/>
                <w:szCs w:val="18"/>
                <w:lang w:bidi="ar"/>
              </w:rPr>
            </w:r>
            <w:r/>
          </w:p>
          <w:p>
            <w:pPr>
              <w:pStyle w:val="998"/>
              <w:spacing w:line="300" w:lineRule="exact"/>
              <w:widowControl/>
              <w:rPr>
                <w:sz w:val="18"/>
                <w:szCs w:val="18"/>
              </w:rPr>
            </w:pPr>
            <w:r>
              <w:rPr>
                <w:rFonts w:hint="eastAsia"/>
                <w:sz w:val="18"/>
                <w:szCs w:val="18"/>
                <w:lang w:bidi="ar"/>
              </w:rPr>
              <w:t xml:space="preserve">（3）同时，需根据省平台最新标准增补采集业务范围和机构范围。</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56</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市疾病报卡项目数据对接及采集</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需</w:t>
            </w:r>
            <w:r>
              <w:rPr>
                <w:rFonts w:hint="eastAsia"/>
                <w:sz w:val="18"/>
                <w:szCs w:val="18"/>
                <w:lang w:bidi="ar"/>
              </w:rPr>
              <w:t xml:space="preserve">支持</w:t>
            </w:r>
            <w:r>
              <w:rPr>
                <w:rFonts w:hint="eastAsia"/>
                <w:sz w:val="18"/>
                <w:szCs w:val="18"/>
              </w:rPr>
              <w:t xml:space="preserve">门诊、住院医生的传染病报卡和慢性病报卡直接对接国家大疫情网，实现数据统一上报到省疾控以及大疫情网。</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5</w:t>
            </w:r>
            <w:r>
              <w:rPr>
                <w:b/>
                <w:bCs/>
                <w:sz w:val="18"/>
                <w:szCs w:val="18"/>
              </w:rPr>
              <w:t xml:space="preserve">7</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南通市平台与江苏省卫生标准对照</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（1）响应江苏省平台对所属地市级平台提出数据上传的要求，需按照省厅新标准进行省平台数据上传相关工作。</w:t>
            </w:r>
            <w:r>
              <w:rPr>
                <w:sz w:val="18"/>
                <w:szCs w:val="18"/>
              </w:rPr>
            </w:r>
            <w:r/>
          </w:p>
          <w:p>
            <w:pPr>
              <w:pStyle w:val="998"/>
              <w:spacing w:line="300" w:lineRule="exact"/>
              <w:widowControl/>
              <w:rPr>
                <w:sz w:val="18"/>
                <w:szCs w:val="18"/>
              </w:rPr>
            </w:pPr>
            <w:r>
              <w:rPr>
                <w:rFonts w:hint="eastAsia"/>
                <w:sz w:val="18"/>
                <w:szCs w:val="18"/>
              </w:rPr>
              <w:t xml:space="preserve">（2）</w:t>
            </w:r>
            <w:r>
              <w:rPr>
                <w:rFonts w:hint="eastAsia"/>
                <w:sz w:val="18"/>
                <w:szCs w:val="18"/>
                <w:lang w:bidi="ar"/>
              </w:rPr>
              <w:t xml:space="preserve">同时</w:t>
            </w:r>
            <w:r>
              <w:rPr>
                <w:rFonts w:hint="eastAsia"/>
                <w:sz w:val="18"/>
                <w:szCs w:val="18"/>
              </w:rPr>
              <w:t xml:space="preserve">需通过专家评审，并按时完成数据的定时上传等相关工作。</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58</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江苏省医疗综合监管平台对接</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（1）江苏省医疗综合监管平台需要整合南通的数据来进行数据的抽取和展示，以达到监控的目的.</w:t>
            </w:r>
            <w:r>
              <w:rPr>
                <w:sz w:val="18"/>
                <w:szCs w:val="18"/>
              </w:rPr>
            </w:r>
            <w:r/>
          </w:p>
          <w:p>
            <w:pPr>
              <w:pStyle w:val="998"/>
              <w:spacing w:line="300" w:lineRule="exact"/>
              <w:widowControl/>
              <w:rPr>
                <w:sz w:val="18"/>
                <w:szCs w:val="18"/>
              </w:rPr>
            </w:pPr>
            <w:r>
              <w:rPr>
                <w:rFonts w:hint="eastAsia"/>
                <w:sz w:val="18"/>
                <w:szCs w:val="18"/>
              </w:rPr>
              <w:t xml:space="preserve">（2）内容应包括监管系统的各项指标内容、分析结果、监测信息等，根据市卫健委医政医管部门的整合到市全民健康信息平台中合并展现。</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十四、经济运行分析监测</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经济运行分析监测适配改造，旨在重新改造程序代码以确保其与新架构兼容，支撑国产化环境中构建一个财务数据驱动的医院经济运行监测体系。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59</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基于财务报表数据来源管理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（1）财务报表标准化配置：平台建设需按照南通本地化财务报表格式，进行统一的财务</w:t>
            </w:r>
            <w:r>
              <w:rPr>
                <w:rFonts w:hint="eastAsia"/>
                <w:sz w:val="18"/>
                <w:szCs w:val="18"/>
                <w:lang w:bidi="ar"/>
              </w:rPr>
              <w:t xml:space="preserve">数据结构</w:t>
            </w:r>
            <w:r>
              <w:rPr>
                <w:rFonts w:hint="eastAsia"/>
                <w:sz w:val="18"/>
                <w:szCs w:val="18"/>
              </w:rPr>
              <w:t xml:space="preserve">化表结构存储在中心数据库，并进行EXCEL文件标准化结构解析字段对应程序开发。</w:t>
            </w:r>
            <w:r>
              <w:rPr>
                <w:sz w:val="18"/>
                <w:szCs w:val="18"/>
              </w:rPr>
            </w:r>
            <w:r/>
          </w:p>
          <w:p>
            <w:pPr>
              <w:pStyle w:val="998"/>
              <w:spacing w:line="300" w:lineRule="exact"/>
              <w:widowControl/>
              <w:rPr>
                <w:sz w:val="18"/>
                <w:szCs w:val="18"/>
              </w:rPr>
            </w:pPr>
            <w:r>
              <w:rPr>
                <w:rFonts w:hint="eastAsia"/>
                <w:sz w:val="18"/>
                <w:szCs w:val="18"/>
              </w:rPr>
              <w:t xml:space="preserve">（2）各医疗机构财务报表上传及存储：医疗机构可通过医院经济运行监测分析平台将每月生成的报表（EXCEL格式）直接操作导入功能，由系统自动进行准确度校验及数据存储，并对于上传操作是否完成予以回复提示。</w:t>
            </w:r>
            <w:r>
              <w:rPr>
                <w:sz w:val="18"/>
                <w:szCs w:val="18"/>
              </w:rPr>
            </w:r>
            <w:r/>
          </w:p>
          <w:p>
            <w:pPr>
              <w:pStyle w:val="998"/>
              <w:spacing w:line="300" w:lineRule="exact"/>
              <w:widowControl/>
              <w:rPr>
                <w:sz w:val="18"/>
                <w:szCs w:val="18"/>
              </w:rPr>
            </w:pPr>
            <w:r>
              <w:rPr>
                <w:rFonts w:hint="eastAsia"/>
                <w:sz w:val="18"/>
                <w:szCs w:val="18"/>
              </w:rPr>
              <w:t xml:space="preserve">（3）需</w:t>
            </w:r>
            <w:r>
              <w:rPr>
                <w:rFonts w:hint="eastAsia"/>
                <w:sz w:val="18"/>
                <w:szCs w:val="18"/>
                <w:lang w:bidi="ar"/>
              </w:rPr>
              <w:t xml:space="preserve">支持</w:t>
            </w:r>
            <w:r>
              <w:rPr>
                <w:rFonts w:hint="eastAsia"/>
                <w:sz w:val="18"/>
                <w:szCs w:val="18"/>
              </w:rPr>
              <w:t xml:space="preserve">报表异常数据的提醒功能并完善相应权限。</w:t>
            </w:r>
            <w:r>
              <w:rPr>
                <w:sz w:val="18"/>
                <w:szCs w:val="18"/>
              </w:rPr>
            </w:r>
            <w:r/>
          </w:p>
          <w:p>
            <w:pPr>
              <w:pStyle w:val="998"/>
              <w:spacing w:line="300" w:lineRule="exact"/>
              <w:widowControl/>
              <w:rPr>
                <w:b/>
                <w:bCs/>
                <w:color w:val="000000"/>
                <w:sz w:val="18"/>
                <w:szCs w:val="18"/>
              </w:rPr>
            </w:pPr>
            <w:r>
              <w:rPr>
                <w:rFonts w:hint="eastAsia"/>
                <w:sz w:val="18"/>
                <w:szCs w:val="18"/>
              </w:rPr>
              <w:t xml:space="preserve">（4）需</w:t>
            </w:r>
            <w:r>
              <w:rPr>
                <w:rFonts w:hint="eastAsia"/>
                <w:sz w:val="18"/>
                <w:szCs w:val="18"/>
                <w:lang w:bidi="ar"/>
              </w:rPr>
              <w:t xml:space="preserve">支持</w:t>
            </w:r>
            <w:r>
              <w:rPr>
                <w:rFonts w:hint="eastAsia"/>
                <w:sz w:val="18"/>
                <w:szCs w:val="18"/>
              </w:rPr>
              <w:t xml:space="preserve">自动生成各家机构上传操作日志，例如记录上传日期及准确率等数据作为行政推动数据依据。</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60</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基于财务数据的整合和展示功能</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rFonts w:eastAsia="仿宋"/>
                <w:color w:val="000000"/>
                <w:sz w:val="20"/>
              </w:rPr>
              <w:t xml:space="preserve">▲</w:t>
            </w: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（1）需按照财务报表EXCEL样式开发电子表单功能，在机构成功执行财务报表上传操作后，系统能够自动生成电子表单。</w:t>
            </w:r>
            <w:r>
              <w:rPr>
                <w:sz w:val="18"/>
                <w:szCs w:val="18"/>
              </w:rPr>
            </w:r>
            <w:r/>
          </w:p>
          <w:p>
            <w:pPr>
              <w:pStyle w:val="998"/>
              <w:spacing w:line="300" w:lineRule="exact"/>
              <w:widowControl/>
              <w:rPr>
                <w:sz w:val="18"/>
                <w:szCs w:val="18"/>
              </w:rPr>
            </w:pPr>
            <w:r>
              <w:rPr>
                <w:rFonts w:hint="eastAsia"/>
                <w:sz w:val="18"/>
                <w:szCs w:val="18"/>
              </w:rPr>
              <w:t xml:space="preserve">（2）卫健委财务处管理人员可按照机构、时间、科目等查询条件调取各单位财务报表明细及汇总数据。</w:t>
            </w:r>
            <w:r>
              <w:rPr>
                <w:sz w:val="18"/>
                <w:szCs w:val="18"/>
              </w:rPr>
            </w:r>
            <w:r/>
          </w:p>
          <w:p>
            <w:pPr>
              <w:pStyle w:val="1010"/>
              <w:ind w:firstLine="0"/>
              <w:rPr>
                <w:rFonts w:hint="eastAsia"/>
                <w:b/>
                <w:bCs/>
                <w:sz w:val="18"/>
                <w:szCs w:val="18"/>
                <w:lang w:eastAsia="zh-CN"/>
              </w:rPr>
            </w:pPr>
            <w:r>
              <w:rPr>
                <w:rFonts w:hint="eastAsia"/>
                <w:b/>
                <w:bCs/>
                <w:sz w:val="18"/>
                <w:szCs w:val="18"/>
                <w:lang w:eastAsia="zh-CN"/>
              </w:rPr>
              <w:t xml:space="preserve">注：须提供信息系统功能截图佐证，不提供不得分。</w:t>
            </w:r>
            <w:r>
              <w:rPr>
                <w:rFonts w:hint="eastAsia"/>
                <w:b/>
                <w:bCs/>
                <w:sz w:val="18"/>
                <w:szCs w:val="18"/>
                <w:lang w:eastAsia="zh-CN"/>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61</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基于财务数据的统计和导出功能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（1）需支持对同一类型的报表可进行合并管理，可多选市属机构融合到一张报表中，并在首列</w:t>
            </w:r>
            <w:r>
              <w:rPr>
                <w:rFonts w:hint="eastAsia"/>
                <w:sz w:val="18"/>
                <w:szCs w:val="18"/>
                <w:lang w:bidi="ar"/>
              </w:rPr>
              <w:t xml:space="preserve">进行</w:t>
            </w:r>
            <w:r>
              <w:rPr>
                <w:rFonts w:hint="eastAsia"/>
                <w:sz w:val="18"/>
                <w:szCs w:val="18"/>
              </w:rPr>
              <w:t xml:space="preserve">各指标合计运算，并支持Excel导出；</w:t>
            </w:r>
            <w:r>
              <w:rPr>
                <w:sz w:val="18"/>
                <w:szCs w:val="18"/>
              </w:rPr>
            </w:r>
            <w:r/>
          </w:p>
          <w:p>
            <w:pPr>
              <w:pStyle w:val="998"/>
              <w:spacing w:line="300" w:lineRule="exact"/>
              <w:widowControl/>
              <w:rPr>
                <w:sz w:val="18"/>
                <w:szCs w:val="18"/>
              </w:rPr>
            </w:pPr>
            <w:r>
              <w:rPr>
                <w:rFonts w:hint="eastAsia"/>
                <w:sz w:val="18"/>
                <w:szCs w:val="18"/>
              </w:rPr>
              <w:t xml:space="preserve">（2）需支持对一张报表中的单一指标、多个机构进行简单公式的自定义计算配置展示，包括求和、平均数、同比、环比、百分比等运算，在系统中直接查看结果列表、报表，并支持Excel导出，另外支持图表导出word文件；</w:t>
            </w:r>
            <w:r>
              <w:rPr>
                <w:sz w:val="18"/>
                <w:szCs w:val="18"/>
              </w:rPr>
            </w:r>
            <w:r/>
          </w:p>
          <w:p>
            <w:pPr>
              <w:pStyle w:val="998"/>
              <w:spacing w:line="300" w:lineRule="exact"/>
              <w:widowControl/>
              <w:rPr>
                <w:sz w:val="18"/>
                <w:szCs w:val="18"/>
              </w:rPr>
            </w:pPr>
            <w:r>
              <w:rPr>
                <w:rFonts w:hint="eastAsia"/>
                <w:sz w:val="18"/>
                <w:szCs w:val="18"/>
              </w:rPr>
              <w:t xml:space="preserve">（3）需对主要指标进行数据分析并可进行图表展示，包括医疗收入、业务支出、工作量、药占比等约15个重点指标，并包含下钻操作为决策提供直观的数据展示。图表样式可根据实际工作需要进行本地化调整；</w:t>
            </w:r>
            <w:r>
              <w:rPr>
                <w:sz w:val="18"/>
                <w:szCs w:val="18"/>
              </w:rPr>
            </w:r>
            <w:r/>
          </w:p>
          <w:p>
            <w:pPr>
              <w:pStyle w:val="998"/>
              <w:spacing w:line="300" w:lineRule="exact"/>
              <w:widowControl/>
              <w:rPr>
                <w:sz w:val="18"/>
                <w:szCs w:val="18"/>
              </w:rPr>
            </w:pPr>
            <w:r>
              <w:rPr>
                <w:rFonts w:hint="eastAsia"/>
                <w:sz w:val="18"/>
                <w:szCs w:val="18"/>
              </w:rPr>
              <w:t xml:space="preserve">（4）需</w:t>
            </w:r>
            <w:r>
              <w:rPr>
                <w:rFonts w:hint="eastAsia"/>
                <w:sz w:val="18"/>
                <w:szCs w:val="18"/>
                <w:lang w:bidi="ar"/>
              </w:rPr>
              <w:t xml:space="preserve">具备</w:t>
            </w:r>
            <w:r>
              <w:rPr>
                <w:rFonts w:hint="eastAsia"/>
                <w:sz w:val="18"/>
                <w:szCs w:val="18"/>
              </w:rPr>
              <w:t xml:space="preserve">自动生成年度预算相关报表功能，并可进行预算执行率分析；</w:t>
            </w:r>
            <w:r>
              <w:rPr>
                <w:sz w:val="18"/>
                <w:szCs w:val="18"/>
              </w:rPr>
            </w:r>
            <w:r/>
          </w:p>
          <w:p>
            <w:pPr>
              <w:pStyle w:val="998"/>
              <w:spacing w:line="300" w:lineRule="exact"/>
              <w:widowControl/>
              <w:rPr>
                <w:sz w:val="18"/>
                <w:szCs w:val="18"/>
              </w:rPr>
            </w:pPr>
            <w:r>
              <w:rPr>
                <w:rFonts w:hint="eastAsia"/>
                <w:sz w:val="18"/>
                <w:szCs w:val="18"/>
              </w:rPr>
              <w:t xml:space="preserve">（5）系统需支持简报生成、上传、推送及下载功能。</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十五、长三角一体化服务</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lang w:bidi="ar"/>
              </w:rPr>
            </w:pPr>
            <w:r>
              <w:rPr>
                <w:rFonts w:hint="eastAsia"/>
                <w:sz w:val="18"/>
                <w:szCs w:val="18"/>
                <w:lang w:bidi="ar"/>
              </w:rPr>
              <w:t xml:space="preserve">长三角一体化服务适配改造，旨在重新改造程序代码以确保其与新架构兼容，支撑国产化环境中构建一个跨区域卫生服务协同创新体系。</w:t>
            </w:r>
            <w:r>
              <w:rPr>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b/>
                <w:bCs/>
                <w:sz w:val="18"/>
                <w:szCs w:val="18"/>
              </w:rPr>
              <w:t xml:space="preserve">62</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数据质量量化评估</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（1）需建立数据重传机制，由于网络原因或是其他原因造成数据无法传送，待网络恢复</w:t>
            </w:r>
            <w:r>
              <w:rPr>
                <w:rFonts w:hint="eastAsia"/>
                <w:sz w:val="18"/>
                <w:szCs w:val="18"/>
                <w:lang w:bidi="ar"/>
              </w:rPr>
              <w:t xml:space="preserve">或是</w:t>
            </w:r>
            <w:r>
              <w:rPr>
                <w:rFonts w:hint="eastAsia"/>
                <w:sz w:val="18"/>
                <w:szCs w:val="18"/>
              </w:rPr>
              <w:t xml:space="preserve">故障解除后，系统可以建立数据重新传输机制，保障数据的完整与安全。</w:t>
            </w:r>
            <w:r>
              <w:rPr>
                <w:sz w:val="18"/>
                <w:szCs w:val="18"/>
              </w:rPr>
            </w:r>
            <w:r/>
          </w:p>
          <w:p>
            <w:pPr>
              <w:pStyle w:val="998"/>
              <w:spacing w:line="300" w:lineRule="exact"/>
              <w:widowControl/>
              <w:rPr>
                <w:sz w:val="18"/>
                <w:szCs w:val="18"/>
              </w:rPr>
            </w:pPr>
            <w:r>
              <w:rPr>
                <w:rFonts w:hint="eastAsia"/>
                <w:sz w:val="18"/>
                <w:szCs w:val="18"/>
              </w:rPr>
              <w:t xml:space="preserve">（2）需基于上海数据接口服务标准进行表结构对照和联调。在南通平台调用统一的接口数据服务，接口采取基于Web Service方式，数据同步通过xml数据交换完成。</w:t>
            </w:r>
            <w:r>
              <w:rPr>
                <w:sz w:val="18"/>
                <w:szCs w:val="18"/>
              </w:rPr>
            </w:r>
            <w:r/>
          </w:p>
          <w:p>
            <w:pPr>
              <w:pStyle w:val="998"/>
              <w:spacing w:line="300" w:lineRule="exact"/>
              <w:widowControl/>
              <w:rPr>
                <w:b/>
                <w:bCs/>
                <w:color w:val="000000"/>
                <w:sz w:val="18"/>
                <w:szCs w:val="18"/>
              </w:rPr>
            </w:pPr>
            <w:r>
              <w:rPr>
                <w:rFonts w:hint="eastAsia"/>
                <w:sz w:val="18"/>
                <w:szCs w:val="18"/>
              </w:rPr>
              <w:t xml:space="preserve">（3）接口服务需对上传数据进行完整性、稳定性和准确性的校验。</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sz w:val="18"/>
                <w:szCs w:val="18"/>
              </w:rPr>
              <w:t xml:space="preserve">63</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检查信息跨域共享</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（1）需建立和使用检查信息跨域共享系统，利用系统后台医疗检查知识库体系和系统前台的</w:t>
            </w:r>
            <w:r>
              <w:rPr>
                <w:rFonts w:hint="eastAsia"/>
                <w:sz w:val="18"/>
                <w:szCs w:val="18"/>
                <w:lang w:bidi="ar"/>
              </w:rPr>
              <w:t xml:space="preserve">信息</w:t>
            </w:r>
            <w:r>
              <w:rPr>
                <w:rFonts w:hint="eastAsia"/>
                <w:sz w:val="18"/>
                <w:szCs w:val="18"/>
              </w:rPr>
              <w:t xml:space="preserve">跨域共享功能，最大限度的避免患者重复检查事件的发生。</w:t>
            </w:r>
            <w:r>
              <w:rPr>
                <w:sz w:val="18"/>
                <w:szCs w:val="18"/>
              </w:rPr>
            </w:r>
            <w:r/>
          </w:p>
          <w:p>
            <w:pPr>
              <w:pStyle w:val="998"/>
              <w:spacing w:line="300" w:lineRule="exact"/>
              <w:widowControl/>
              <w:rPr>
                <w:sz w:val="18"/>
                <w:szCs w:val="18"/>
              </w:rPr>
            </w:pPr>
            <w:r>
              <w:rPr>
                <w:rFonts w:hint="eastAsia"/>
                <w:sz w:val="18"/>
                <w:szCs w:val="18"/>
              </w:rPr>
              <w:t xml:space="preserve">（2）需</w:t>
            </w:r>
            <w:r>
              <w:rPr>
                <w:rFonts w:hint="eastAsia"/>
                <w:sz w:val="18"/>
                <w:szCs w:val="18"/>
                <w:lang w:bidi="ar"/>
              </w:rPr>
              <w:t xml:space="preserve">支持</w:t>
            </w:r>
            <w:r>
              <w:rPr>
                <w:rFonts w:hint="eastAsia"/>
                <w:sz w:val="18"/>
                <w:szCs w:val="18"/>
              </w:rPr>
              <w:t xml:space="preserve">南通本地患者在上海医院进行完检查后，通过数据交换平台可将患者检查数据打包回传到南通平台进行共享。</w:t>
            </w:r>
            <w:r>
              <w:rPr>
                <w:sz w:val="18"/>
                <w:szCs w:val="18"/>
              </w:rPr>
            </w:r>
            <w:r/>
          </w:p>
          <w:p>
            <w:pPr>
              <w:pStyle w:val="998"/>
              <w:spacing w:line="300" w:lineRule="exact"/>
              <w:widowControl/>
              <w:rPr>
                <w:sz w:val="18"/>
                <w:szCs w:val="18"/>
              </w:rPr>
            </w:pPr>
            <w:r>
              <w:rPr>
                <w:rFonts w:hint="eastAsia"/>
                <w:sz w:val="18"/>
                <w:szCs w:val="18"/>
              </w:rPr>
              <w:t xml:space="preserve">（3）患者回到南通后去本地医院就诊时，在有效时期内，可将患者在上海的检查数据作为检查依据，避免重复检查。</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64</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血液管理信息跨域共享系统化</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（1）异地用血费用减免信息共享：平台需采集南通本地居民献血者在异地用血的信息记录，采集献血者在异地用血时费用减免相关信息，实现对异地用血及费用减免相关信息的统计与分析。</w:t>
            </w:r>
            <w:r>
              <w:rPr>
                <w:sz w:val="18"/>
                <w:szCs w:val="18"/>
              </w:rPr>
            </w:r>
            <w:r/>
          </w:p>
          <w:p>
            <w:pPr>
              <w:pStyle w:val="998"/>
              <w:spacing w:line="300" w:lineRule="exact"/>
              <w:widowControl/>
              <w:rPr>
                <w:sz w:val="18"/>
                <w:szCs w:val="18"/>
              </w:rPr>
            </w:pPr>
            <w:r>
              <w:rPr>
                <w:rFonts w:hint="eastAsia"/>
                <w:sz w:val="18"/>
                <w:szCs w:val="18"/>
              </w:rPr>
              <w:t xml:space="preserve">（2）采血安全信息共享：平台需采集献血隔离者（携带乙肝、丙肝等病毒携带者）和未满献血间隔期的人员信息，实现献血隔离者和未满献血间隔期的人员信息共享，在平台端可以查阅及统计相关人员血液共享信息，保证血液源头安全。</w:t>
            </w:r>
            <w:r>
              <w:rPr>
                <w:sz w:val="18"/>
                <w:szCs w:val="18"/>
              </w:rPr>
            </w:r>
            <w:r/>
          </w:p>
          <w:p>
            <w:pPr>
              <w:pStyle w:val="998"/>
              <w:spacing w:line="300" w:lineRule="exact"/>
              <w:widowControl/>
              <w:rPr>
                <w:sz w:val="18"/>
                <w:szCs w:val="18"/>
              </w:rPr>
            </w:pPr>
            <w:r>
              <w:rPr>
                <w:rFonts w:hint="eastAsia"/>
                <w:sz w:val="18"/>
                <w:szCs w:val="18"/>
              </w:rPr>
              <w:t xml:space="preserve">（3）日志</w:t>
            </w:r>
            <w:r>
              <w:rPr>
                <w:rFonts w:hint="eastAsia"/>
                <w:sz w:val="18"/>
                <w:szCs w:val="18"/>
                <w:lang w:bidi="ar"/>
              </w:rPr>
              <w:t xml:space="preserve">管理</w:t>
            </w:r>
            <w:r>
              <w:rPr>
                <w:rFonts w:hint="eastAsia"/>
                <w:sz w:val="18"/>
                <w:szCs w:val="18"/>
              </w:rPr>
              <w:t xml:space="preserve">：平台需采集血液系统相关人员的使用操作、数据共享、查询等日志记录，在平台端可查阅及统计相关人员的具体操作。</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65</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健康档案公共接口建设</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健康档案</w:t>
            </w:r>
            <w:r>
              <w:rPr>
                <w:rFonts w:hint="eastAsia"/>
                <w:sz w:val="18"/>
                <w:szCs w:val="18"/>
                <w:lang w:bidi="ar"/>
              </w:rPr>
              <w:t xml:space="preserve">接口</w:t>
            </w:r>
            <w:r>
              <w:rPr>
                <w:rFonts w:hint="eastAsia"/>
                <w:sz w:val="18"/>
                <w:szCs w:val="18"/>
              </w:rPr>
              <w:t xml:space="preserve">应包括如下：</w:t>
            </w:r>
            <w:r>
              <w:rPr>
                <w:sz w:val="18"/>
                <w:szCs w:val="18"/>
              </w:rPr>
            </w:r>
            <w:r/>
          </w:p>
          <w:p>
            <w:pPr>
              <w:pStyle w:val="998"/>
              <w:spacing w:line="300" w:lineRule="exact"/>
              <w:widowControl/>
              <w:rPr>
                <w:sz w:val="18"/>
                <w:szCs w:val="18"/>
              </w:rPr>
            </w:pPr>
            <w:r>
              <w:rPr>
                <w:rFonts w:hint="eastAsia"/>
                <w:sz w:val="18"/>
                <w:szCs w:val="18"/>
              </w:rPr>
              <w:t xml:space="preserve">（1）门诊信息</w:t>
            </w:r>
            <w:r>
              <w:rPr>
                <w:sz w:val="18"/>
                <w:szCs w:val="18"/>
              </w:rPr>
            </w:r>
            <w:r/>
          </w:p>
          <w:p>
            <w:pPr>
              <w:pStyle w:val="998"/>
              <w:spacing w:line="300" w:lineRule="exact"/>
              <w:widowControl/>
              <w:rPr>
                <w:sz w:val="18"/>
                <w:szCs w:val="18"/>
              </w:rPr>
            </w:pPr>
            <w:r>
              <w:rPr>
                <w:rFonts w:hint="eastAsia"/>
                <w:sz w:val="18"/>
                <w:szCs w:val="18"/>
              </w:rPr>
              <w:t xml:space="preserve">（2）住院信息</w:t>
            </w:r>
            <w:r>
              <w:rPr>
                <w:sz w:val="18"/>
                <w:szCs w:val="18"/>
              </w:rPr>
            </w:r>
            <w:r/>
          </w:p>
          <w:p>
            <w:pPr>
              <w:pStyle w:val="998"/>
              <w:spacing w:line="300" w:lineRule="exact"/>
              <w:widowControl/>
              <w:rPr>
                <w:sz w:val="18"/>
                <w:szCs w:val="18"/>
              </w:rPr>
            </w:pPr>
            <w:r>
              <w:rPr>
                <w:rFonts w:hint="eastAsia"/>
                <w:sz w:val="18"/>
                <w:szCs w:val="18"/>
              </w:rPr>
              <w:t xml:space="preserve">（3）影像检查信息</w:t>
            </w:r>
            <w:r>
              <w:rPr>
                <w:sz w:val="18"/>
                <w:szCs w:val="18"/>
              </w:rPr>
            </w:r>
            <w:r/>
          </w:p>
          <w:p>
            <w:pPr>
              <w:pStyle w:val="998"/>
              <w:spacing w:after="120" w:line="300" w:lineRule="exact"/>
              <w:rPr>
                <w:sz w:val="18"/>
                <w:szCs w:val="18"/>
              </w:rPr>
            </w:pPr>
            <w:r>
              <w:rPr>
                <w:rFonts w:hint="eastAsia"/>
                <w:sz w:val="18"/>
                <w:szCs w:val="18"/>
              </w:rPr>
              <w:t xml:space="preserve">（4）实验室检验信息</w:t>
            </w:r>
            <w:r>
              <w:rPr>
                <w:sz w:val="18"/>
                <w:szCs w:val="18"/>
              </w:rPr>
            </w:r>
            <w:r/>
          </w:p>
          <w:p>
            <w:pPr>
              <w:pStyle w:val="998"/>
              <w:spacing w:line="300" w:lineRule="exact"/>
              <w:widowControl/>
              <w:rPr>
                <w:sz w:val="18"/>
                <w:szCs w:val="18"/>
              </w:rPr>
            </w:pPr>
            <w:r>
              <w:rPr>
                <w:rFonts w:hint="eastAsia"/>
                <w:sz w:val="18"/>
                <w:szCs w:val="18"/>
              </w:rPr>
              <w:t xml:space="preserve">需建设web service接口，并根据传入的身份证号码提供相应的数据服务。同时相关接口需</w:t>
            </w:r>
            <w:r>
              <w:rPr>
                <w:rFonts w:hint="eastAsia"/>
                <w:sz w:val="18"/>
                <w:szCs w:val="18"/>
                <w:lang w:bidi="ar"/>
              </w:rPr>
              <w:t xml:space="preserve">提供</w:t>
            </w:r>
            <w:r>
              <w:rPr>
                <w:rFonts w:hint="eastAsia"/>
                <w:sz w:val="18"/>
                <w:szCs w:val="18"/>
              </w:rPr>
              <w:t xml:space="preserve">调阅的ip安全认证、调阅日志、黑名单管理等相关的管控功能。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gridSpan w:val="2"/>
            <w:tcW w:w="8412" w:type="dxa"/>
            <w:vAlign w:val="center"/>
            <w:textDirection w:val="lrTb"/>
            <w:noWrap w:val="false"/>
          </w:tcPr>
          <w:p>
            <w:pPr>
              <w:pStyle w:val="998"/>
              <w:jc w:val="center"/>
              <w:spacing w:line="300" w:lineRule="exact"/>
              <w:rPr>
                <w:sz w:val="18"/>
                <w:szCs w:val="18"/>
              </w:rPr>
            </w:pPr>
            <w:r/>
            <w:bookmarkStart w:id="196" w:name="_Hlk211600213"/>
            <w:r>
              <w:rPr>
                <w:rFonts w:hint="eastAsia"/>
                <w:b/>
                <w:bCs/>
                <w:sz w:val="20"/>
                <w:szCs w:val="20"/>
                <w:lang w:bidi="ar"/>
              </w:rPr>
              <w:t xml:space="preserve">十六</w:t>
            </w:r>
            <w:bookmarkStart w:id="197" w:name="_Toc1073"/>
            <w:r>
              <w:rPr>
                <w:rFonts w:hint="eastAsia"/>
                <w:b/>
                <w:bCs/>
                <w:sz w:val="20"/>
                <w:szCs w:val="20"/>
                <w:lang w:bidi="ar"/>
              </w:rPr>
              <w:t xml:space="preserve">、医疗机构依法执业自我管理子系统</w:t>
            </w:r>
            <w:bookmarkEnd w:id="197"/>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rPr>
              <w:t xml:space="preserve">南通市医疗机构依法执业自我管理子系统旨在重新改造程序代码以确保其与新架构兼容，支撑国产化环境中构建全流程、智能化的依法执业自查管理体系，通过整合系统说明、检查管理、医疗机构信息维护、指标与法规管理、微信公众号、统计分析及系统维护等核心模块，实现自查任务的规范化下发、动态执行与结果审核，结合微信公众号提供指标查询与执法自查支持，为提升医疗机构依法执业水平、规范监管流程提供信息化支撑。</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b/>
                <w:bCs/>
                <w:sz w:val="18"/>
                <w:szCs w:val="18"/>
              </w:rPr>
              <w:t xml:space="preserve">66</w:t>
            </w:r>
            <w:r>
              <w:rPr>
                <w:sz w:val="18"/>
                <w:szCs w:val="18"/>
              </w:rPr>
            </w:r>
            <w:r/>
          </w:p>
        </w:tc>
        <w:tc>
          <w:tcPr>
            <w:tcW w:w="4196" w:type="dxa"/>
            <w:vAlign w:val="center"/>
            <w:textDirection w:val="lrTb"/>
            <w:noWrap w:val="false"/>
          </w:tcPr>
          <w:p>
            <w:pPr>
              <w:pStyle w:val="998"/>
              <w:spacing w:line="300" w:lineRule="exact"/>
              <w:rPr>
                <w:b/>
                <w:bCs/>
                <w:sz w:val="18"/>
                <w:szCs w:val="18"/>
              </w:rPr>
            </w:pPr>
            <w:r>
              <w:rPr>
                <w:rFonts w:hint="eastAsia"/>
                <w:b/>
                <w:bCs/>
                <w:sz w:val="18"/>
                <w:szCs w:val="18"/>
              </w:rPr>
              <w:t xml:space="preserve">系统说明</w:t>
            </w:r>
            <w:r>
              <w:rPr>
                <w:b/>
                <w:bCs/>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系统说明维护：需支持指标说明管理功能，包括添加、修改、查询、删除指标说明，确保有效管理与更新，同时系统支持附件上传、查看和删除，辅助相关工作。需支持培训材料管理维护功能，涵盖添加、更新、查询、删除培训材料，保障实时性与准确性，系统提供附件支持，方便辅助培训。需支持操作手册管理维护功能，包括添加、修改、查询、删除操作手册，确保及时更新与有效管理，系统支持添加附件。 </w:t>
            </w:r>
            <w:r>
              <w:rPr>
                <w:sz w:val="18"/>
                <w:szCs w:val="18"/>
              </w:rPr>
            </w:r>
            <w:r/>
          </w:p>
          <w:p>
            <w:pPr>
              <w:pStyle w:val="998"/>
              <w:spacing w:line="300" w:lineRule="exact"/>
              <w:widowControl/>
              <w:rPr>
                <w:sz w:val="18"/>
                <w:szCs w:val="18"/>
              </w:rPr>
            </w:pPr>
            <w:r>
              <w:rPr>
                <w:rFonts w:hint="eastAsia"/>
                <w:sz w:val="18"/>
                <w:szCs w:val="18"/>
              </w:rPr>
              <w:t xml:space="preserve">（2）系统说明：需支持标说明查询、查看、预览和下载功能。用户可通过输入关键词或选分类定位信息，查看具体内容，在线预览文档格式与布局，下载到本地离线查阅。需支持培训材料查询、查看、预览和下载功能。用户可通过多筛选条件精准查找，浏览具体内容结构，在线预览格式内容确保符合需求，保存到本地随时学习参考。需支持操作手册查询、查看、预览和下载功能。用户可通过输名称、关键词或选分类找手册信息，阅读步骤与注意事项，在线查看整体布局与内容概览，下载到本地操作时随时查阅参照。 </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67</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检查管理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（1）指标分配-专家：需实现专家成员个人检查模板基础信息的输入与保存，同时实现关联指标信息的弹出选择与保存。</w:t>
            </w:r>
            <w:r>
              <w:rPr>
                <w:sz w:val="18"/>
                <w:szCs w:val="18"/>
              </w:rPr>
            </w:r>
            <w:r/>
          </w:p>
          <w:p>
            <w:pPr>
              <w:pStyle w:val="998"/>
              <w:spacing w:line="300" w:lineRule="exact"/>
              <w:widowControl/>
              <w:rPr>
                <w:sz w:val="18"/>
                <w:szCs w:val="18"/>
              </w:rPr>
            </w:pPr>
            <w:r>
              <w:rPr>
                <w:rFonts w:hint="eastAsia"/>
                <w:sz w:val="18"/>
                <w:szCs w:val="18"/>
              </w:rPr>
              <w:t xml:space="preserve">（2）指标分配-专家：需实现专家组检查模板基础信息、成员及成员关联指标信息的输入、弹出选择与保存功能。</w:t>
            </w:r>
            <w:r>
              <w:rPr>
                <w:sz w:val="18"/>
                <w:szCs w:val="18"/>
              </w:rPr>
            </w:r>
            <w:r/>
          </w:p>
          <w:p>
            <w:pPr>
              <w:pStyle w:val="998"/>
              <w:spacing w:line="300" w:lineRule="exact"/>
              <w:widowControl/>
              <w:rPr>
                <w:sz w:val="18"/>
                <w:szCs w:val="18"/>
              </w:rPr>
            </w:pPr>
            <w:r>
              <w:rPr>
                <w:rFonts w:hint="eastAsia"/>
                <w:sz w:val="18"/>
                <w:szCs w:val="18"/>
              </w:rPr>
              <w:t xml:space="preserve">（3）任务下达-任务流程：需支持各级任务的下发、接收分配控制。如市级机构管理员填任务检查指标，选下发级别为区县并指定具体区县。对应区县管理员在二次下发任务菜单接收，可继续下发给本区县专家或医疗机构。下发给医疗机构后，协管员可自查或修改后分配给医院专家，检查完协管员审核。非医疗机构下发任务生成整改任务时无任务创建人和检查专家，需受检机构协管员在综合管理菜单修改再分配。</w:t>
            </w:r>
            <w:r>
              <w:rPr>
                <w:sz w:val="18"/>
                <w:szCs w:val="18"/>
              </w:rPr>
            </w:r>
            <w:r/>
          </w:p>
          <w:p>
            <w:pPr>
              <w:pStyle w:val="998"/>
              <w:spacing w:line="300" w:lineRule="exact"/>
              <w:widowControl/>
              <w:rPr>
                <w:sz w:val="18"/>
                <w:szCs w:val="18"/>
              </w:rPr>
            </w:pPr>
            <w:r>
              <w:rPr>
                <w:rFonts w:hint="eastAsia"/>
                <w:sz w:val="18"/>
                <w:szCs w:val="18"/>
              </w:rPr>
              <w:t xml:space="preserve">（4）任务下达-日常检查：需支持医疗机构管理员按自查管理制度要求，定期给各科室专家账号下发日常检查任务，执行依法执业自查。选择专家组后自动加载专家账号与检查指标数据，也可在模块中调整。</w:t>
            </w:r>
            <w:r>
              <w:rPr>
                <w:sz w:val="18"/>
                <w:szCs w:val="18"/>
              </w:rPr>
            </w:r>
            <w:r/>
          </w:p>
          <w:p>
            <w:pPr>
              <w:pStyle w:val="998"/>
              <w:spacing w:line="300" w:lineRule="exact"/>
              <w:widowControl/>
              <w:rPr>
                <w:sz w:val="18"/>
                <w:szCs w:val="18"/>
              </w:rPr>
            </w:pPr>
            <w:r>
              <w:rPr>
                <w:rFonts w:hint="eastAsia"/>
                <w:sz w:val="18"/>
                <w:szCs w:val="18"/>
              </w:rPr>
              <w:t xml:space="preserve">（5）任务下达-专项检查：需支持医疗机构管理员可根据自查管理制度及机构情况，随时给各科室的依法执业自查专家账号下发专家检查任务。专项任务需选指标和专家，不能像日常检查那样加载检查组。</w:t>
            </w:r>
            <w:r>
              <w:rPr>
                <w:sz w:val="18"/>
                <w:szCs w:val="18"/>
              </w:rPr>
            </w:r>
            <w:r/>
          </w:p>
          <w:p>
            <w:pPr>
              <w:pStyle w:val="998"/>
              <w:spacing w:after="120" w:line="300" w:lineRule="exact"/>
              <w:rPr>
                <w:sz w:val="18"/>
                <w:szCs w:val="18"/>
              </w:rPr>
            </w:pPr>
            <w:r>
              <w:rPr>
                <w:rFonts w:hint="eastAsia"/>
                <w:sz w:val="18"/>
                <w:szCs w:val="18"/>
              </w:rPr>
              <w:t xml:space="preserve">（6）任务下达-任务再次下发：需支持整改任务的查询、分配和管理功能，方便各级管理人员追踪进展，确保任务及时处理落实。实现上级任务的接收与分配管理功能，上级下达任务时，系统能快速传达并灵活分配。</w:t>
            </w:r>
            <w:r>
              <w:rPr>
                <w:sz w:val="18"/>
                <w:szCs w:val="18"/>
              </w:rPr>
            </w:r>
            <w:r/>
          </w:p>
          <w:p>
            <w:pPr>
              <w:pStyle w:val="998"/>
              <w:spacing w:line="300" w:lineRule="exact"/>
              <w:widowControl/>
              <w:rPr>
                <w:sz w:val="18"/>
                <w:szCs w:val="18"/>
              </w:rPr>
            </w:pPr>
            <w:r>
              <w:rPr>
                <w:rFonts w:hint="eastAsia"/>
                <w:sz w:val="18"/>
                <w:szCs w:val="18"/>
              </w:rPr>
              <w:t xml:space="preserve">（7）待检查任务项：包括检查结果填写、任务查询查看及结果提交等功能。专家可便捷查询需自己检查的任务清单，进入详情页下载或在线预览文件，高效准确填写结果。</w:t>
            </w:r>
            <w:r>
              <w:rPr>
                <w:sz w:val="18"/>
                <w:szCs w:val="18"/>
              </w:rPr>
            </w:r>
            <w:r/>
          </w:p>
          <w:p>
            <w:pPr>
              <w:pStyle w:val="998"/>
              <w:spacing w:line="300" w:lineRule="exact"/>
              <w:widowControl/>
              <w:rPr>
                <w:sz w:val="18"/>
                <w:szCs w:val="18"/>
              </w:rPr>
            </w:pPr>
            <w:r>
              <w:rPr>
                <w:rFonts w:hint="eastAsia"/>
                <w:sz w:val="18"/>
                <w:szCs w:val="18"/>
              </w:rPr>
              <w:t xml:space="preserve">（8）已检查任务项：需支持已完成任务查询、查看及结果调整等功能。任务下发人未审核时，专家可点击【检查】按钮修改更新指标检查结果，确保数据准确完整，赋予专家灵活调整权限应对误差遗漏。 </w:t>
            </w:r>
            <w:r>
              <w:rPr>
                <w:sz w:val="18"/>
                <w:szCs w:val="18"/>
              </w:rPr>
            </w:r>
            <w:r/>
          </w:p>
          <w:p>
            <w:pPr>
              <w:pStyle w:val="998"/>
              <w:spacing w:line="300" w:lineRule="exact"/>
              <w:widowControl/>
              <w:rPr>
                <w:sz w:val="18"/>
                <w:szCs w:val="18"/>
              </w:rPr>
            </w:pPr>
            <w:r>
              <w:rPr>
                <w:rFonts w:hint="eastAsia"/>
                <w:sz w:val="18"/>
                <w:szCs w:val="18"/>
              </w:rPr>
              <w:t xml:space="preserve">（9）待审核任务：系统功能包括任务下发人对专家填写结果进行审核、查询、查看和调整。若有【不合格】指标，系统生成【不合格整改任务】并标记原因。</w:t>
            </w:r>
            <w:r>
              <w:rPr>
                <w:sz w:val="18"/>
                <w:szCs w:val="18"/>
              </w:rPr>
            </w:r>
            <w:r/>
          </w:p>
          <w:p>
            <w:pPr>
              <w:pStyle w:val="998"/>
              <w:spacing w:line="300" w:lineRule="exact"/>
              <w:widowControl/>
              <w:rPr>
                <w:sz w:val="18"/>
                <w:szCs w:val="18"/>
              </w:rPr>
            </w:pPr>
            <w:r>
              <w:rPr>
                <w:rFonts w:hint="eastAsia"/>
                <w:sz w:val="18"/>
                <w:szCs w:val="18"/>
              </w:rPr>
              <w:t xml:space="preserve">（10）已审核任务：需支持任务下发人对已审核进行查询、查看、生成报告、申请修改报告等功能；</w:t>
            </w:r>
            <w:r>
              <w:rPr>
                <w:sz w:val="18"/>
                <w:szCs w:val="18"/>
              </w:rPr>
            </w:r>
            <w:r/>
          </w:p>
          <w:p>
            <w:pPr>
              <w:pStyle w:val="998"/>
              <w:spacing w:line="300" w:lineRule="exact"/>
              <w:widowControl/>
              <w:rPr>
                <w:sz w:val="18"/>
                <w:szCs w:val="18"/>
              </w:rPr>
            </w:pPr>
            <w:r>
              <w:rPr>
                <w:rFonts w:hint="eastAsia"/>
                <w:sz w:val="18"/>
                <w:szCs w:val="18"/>
              </w:rPr>
              <w:t xml:space="preserve">（11）撤回申请：需支持任务下发人可对已审核任务提交修改申请，还能查询撤回申请记录和跟踪审核状态。</w:t>
            </w:r>
            <w:r>
              <w:rPr>
                <w:sz w:val="18"/>
                <w:szCs w:val="18"/>
              </w:rPr>
            </w:r>
            <w:r/>
          </w:p>
          <w:p>
            <w:pPr>
              <w:pStyle w:val="998"/>
              <w:spacing w:after="120" w:line="300" w:lineRule="exact"/>
              <w:rPr>
                <w:sz w:val="18"/>
                <w:szCs w:val="18"/>
              </w:rPr>
            </w:pPr>
            <w:r>
              <w:rPr>
                <w:rFonts w:hint="eastAsia"/>
                <w:sz w:val="18"/>
                <w:szCs w:val="18"/>
              </w:rPr>
              <w:t xml:space="preserve">（12）综合查询：需支持对机构任务检查进度查询、查看、到处、延期、作废、删除、复制任务等功能；</w:t>
            </w:r>
            <w:r>
              <w:rPr>
                <w:sz w:val="18"/>
                <w:szCs w:val="18"/>
              </w:rPr>
            </w:r>
            <w:r/>
          </w:p>
          <w:p>
            <w:pPr>
              <w:pStyle w:val="998"/>
              <w:spacing w:line="300" w:lineRule="exact"/>
              <w:widowControl/>
              <w:rPr>
                <w:sz w:val="18"/>
                <w:szCs w:val="18"/>
              </w:rPr>
            </w:pPr>
            <w:r>
              <w:rPr>
                <w:rFonts w:hint="eastAsia"/>
                <w:sz w:val="18"/>
                <w:szCs w:val="18"/>
              </w:rPr>
              <w:t xml:space="preserve">（13）附件查看：需支持对机构检查过程中提交的附件查询、查看下载等功能；</w:t>
            </w:r>
            <w:r>
              <w:rPr>
                <w:sz w:val="18"/>
                <w:szCs w:val="18"/>
              </w:rPr>
            </w:r>
            <w:r/>
          </w:p>
          <w:p>
            <w:pPr>
              <w:pStyle w:val="998"/>
              <w:spacing w:line="300" w:lineRule="exact"/>
              <w:widowControl/>
              <w:rPr>
                <w:sz w:val="18"/>
                <w:szCs w:val="18"/>
              </w:rPr>
            </w:pPr>
            <w:r>
              <w:rPr>
                <w:rFonts w:hint="eastAsia"/>
                <w:sz w:val="18"/>
                <w:szCs w:val="18"/>
              </w:rPr>
              <w:t xml:space="preserve">（14）报告管理：需支持对机构上传报告查询、查看、下载报告、删除等功能；</w:t>
            </w:r>
            <w:r>
              <w:rPr>
                <w:sz w:val="18"/>
                <w:szCs w:val="18"/>
              </w:rPr>
            </w:r>
            <w:r/>
          </w:p>
          <w:p>
            <w:pPr>
              <w:pStyle w:val="998"/>
              <w:rPr>
                <w:sz w:val="18"/>
                <w:szCs w:val="18"/>
              </w:rPr>
            </w:pP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68</w:t>
            </w:r>
            <w:r>
              <w:rPr>
                <w:b/>
                <w:bCs/>
                <w:sz w:val="18"/>
                <w:szCs w:val="18"/>
              </w:rPr>
            </w:r>
            <w:r/>
          </w:p>
        </w:tc>
        <w:tc>
          <w:tcPr>
            <w:tcW w:w="4196" w:type="dxa"/>
            <w:vAlign w:val="center"/>
            <w:textDirection w:val="lrTb"/>
            <w:noWrap w:val="false"/>
          </w:tcPr>
          <w:p>
            <w:pPr>
              <w:pStyle w:val="998"/>
              <w:spacing w:line="300" w:lineRule="exact"/>
              <w:rPr>
                <w:b/>
                <w:bCs/>
                <w:sz w:val="18"/>
                <w:szCs w:val="18"/>
              </w:rPr>
            </w:pPr>
            <w:r>
              <w:rPr>
                <w:rFonts w:hint="eastAsia"/>
                <w:b/>
                <w:bCs/>
                <w:sz w:val="18"/>
                <w:szCs w:val="18"/>
              </w:rPr>
              <w:t xml:space="preserve">医疗机构信息</w:t>
            </w:r>
            <w:r>
              <w:rPr>
                <w:b/>
                <w:bCs/>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（1）医疗机构管理：需支持对系统中医疗机构添加、查询、导出、查看、修改、生成机构管理员账户、注销等功能；</w:t>
            </w:r>
            <w:r>
              <w:rPr>
                <w:sz w:val="18"/>
                <w:szCs w:val="18"/>
              </w:rPr>
            </w:r>
            <w:r/>
          </w:p>
          <w:p>
            <w:pPr>
              <w:pStyle w:val="998"/>
              <w:spacing w:line="300" w:lineRule="exact"/>
              <w:widowControl/>
              <w:rPr>
                <w:sz w:val="18"/>
                <w:szCs w:val="18"/>
              </w:rPr>
            </w:pPr>
            <w:r>
              <w:rPr>
                <w:rFonts w:hint="eastAsia"/>
                <w:sz w:val="18"/>
                <w:szCs w:val="18"/>
              </w:rPr>
              <w:t xml:space="preserve">（2）医疗机构分组：需支持对系统中机构配置机构分组添加、查询、导出、查看、修改、删除等功能；</w:t>
            </w:r>
            <w:r>
              <w:rPr>
                <w:sz w:val="18"/>
                <w:szCs w:val="18"/>
              </w:rPr>
            </w:r>
            <w:r/>
          </w:p>
          <w:p>
            <w:pPr>
              <w:pStyle w:val="998"/>
              <w:spacing w:line="300" w:lineRule="exact"/>
              <w:widowControl/>
              <w:rPr>
                <w:sz w:val="18"/>
                <w:szCs w:val="18"/>
              </w:rPr>
            </w:pPr>
            <w:r>
              <w:rPr>
                <w:rFonts w:hint="eastAsia"/>
                <w:sz w:val="18"/>
                <w:szCs w:val="18"/>
              </w:rPr>
              <w:t xml:space="preserve">（3）医师信息管理：需支持查询管辖范围内医师基本信息，系统能对这些信息进行添加、修改、删除操作，具备关联医疗机构功能。同时还提供批量导入功能。</w:t>
            </w:r>
            <w:r>
              <w:rPr>
                <w:sz w:val="18"/>
                <w:szCs w:val="18"/>
              </w:rPr>
            </w:r>
            <w:r/>
          </w:p>
          <w:p>
            <w:pPr>
              <w:pStyle w:val="998"/>
              <w:spacing w:line="300" w:lineRule="exact"/>
              <w:widowControl/>
              <w:rPr>
                <w:sz w:val="18"/>
                <w:szCs w:val="18"/>
              </w:rPr>
            </w:pPr>
            <w:r>
              <w:rPr>
                <w:rFonts w:hint="eastAsia"/>
                <w:sz w:val="18"/>
                <w:szCs w:val="18"/>
              </w:rPr>
              <w:t xml:space="preserve">（4）护士信息管理：需支持查询管辖范围内护士详细信息，系统能对信息进行添加、修改、删除操作，支持导出多种格式，具备关联医疗机构功能。也支持批量导入大量医师信息。</w:t>
            </w:r>
            <w:r>
              <w:rPr>
                <w:sz w:val="18"/>
                <w:szCs w:val="18"/>
              </w:rPr>
            </w:r>
            <w:r/>
          </w:p>
          <w:p>
            <w:pPr>
              <w:pStyle w:val="998"/>
              <w:spacing w:line="300" w:lineRule="exact"/>
              <w:widowControl/>
              <w:rPr>
                <w:rFonts w:eastAsia="仿宋"/>
              </w:rPr>
            </w:pPr>
            <w:r>
              <w:rPr>
                <w:rFonts w:hint="eastAsia"/>
                <w:sz w:val="18"/>
                <w:szCs w:val="18"/>
              </w:rPr>
              <w:t xml:space="preserve">（5）数据导入日志：需支持对系统中机构导入日志信息查询、下载文件、导出账户等功能；</w:t>
            </w:r>
            <w:r>
              <w:rPr>
                <w:rFonts w:eastAsia="仿宋"/>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69</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指标管理</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（1）指标查询：需具备针对任务指标的分类查询和查看功能，采用树型结构展示三级指标信息。</w:t>
            </w:r>
            <w:r>
              <w:rPr>
                <w:sz w:val="18"/>
                <w:szCs w:val="18"/>
              </w:rPr>
            </w:r>
            <w:r/>
          </w:p>
          <w:p>
            <w:pPr>
              <w:pStyle w:val="998"/>
              <w:spacing w:line="300" w:lineRule="exact"/>
              <w:widowControl/>
              <w:rPr>
                <w:sz w:val="18"/>
                <w:szCs w:val="18"/>
              </w:rPr>
            </w:pPr>
            <w:r>
              <w:rPr>
                <w:rFonts w:hint="eastAsia"/>
                <w:sz w:val="18"/>
                <w:szCs w:val="18"/>
              </w:rPr>
              <w:t xml:space="preserve">（2）指标维护：需具备对系统任务指标的分级维护、添加、查询、查看详情、修改、删除等功能。</w:t>
            </w:r>
            <w:r>
              <w:rPr>
                <w:sz w:val="18"/>
                <w:szCs w:val="18"/>
              </w:rPr>
            </w:r>
            <w:r/>
          </w:p>
          <w:p>
            <w:pPr>
              <w:pStyle w:val="998"/>
              <w:spacing w:line="300" w:lineRule="exact"/>
              <w:widowControl/>
              <w:rPr>
                <w:rFonts w:eastAsia="仿宋"/>
                <w:sz w:val="18"/>
                <w:szCs w:val="18"/>
              </w:rPr>
            </w:pPr>
            <w:r>
              <w:rPr>
                <w:rFonts w:hint="eastAsia"/>
                <w:sz w:val="18"/>
                <w:szCs w:val="18"/>
              </w:rPr>
              <w:t xml:space="preserve">（3）指标项：需具备导出系统任务指标数据功能，方便用户获取和分析关键指标信息。</w:t>
            </w:r>
            <w:r>
              <w:rPr>
                <w:rFonts w:eastAsia="仿宋"/>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70</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法律法规管理</w:t>
            </w:r>
            <w:r>
              <w:rPr>
                <w:rFonts w:hint="eastAsia"/>
                <w:b/>
                <w:bCs/>
                <w:color w:val="000000"/>
                <w:sz w:val="18"/>
                <w:szCs w:val="18"/>
              </w:rPr>
              <w:tab/>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（1）法律法规维护：需具备法律法规进行分类管理的功能，包括管理分类、添加条目、查询信息、查看详情、修改内容和删除条目等操作。</w:t>
            </w:r>
            <w:r>
              <w:rPr>
                <w:sz w:val="18"/>
                <w:szCs w:val="18"/>
              </w:rPr>
            </w:r>
            <w:r/>
          </w:p>
          <w:p>
            <w:pPr>
              <w:pStyle w:val="998"/>
              <w:spacing w:after="120" w:line="300" w:lineRule="exact"/>
              <w:rPr>
                <w:sz w:val="18"/>
                <w:szCs w:val="18"/>
              </w:rPr>
            </w:pPr>
            <w:r>
              <w:rPr>
                <w:rFonts w:hint="eastAsia"/>
                <w:sz w:val="18"/>
                <w:szCs w:val="18"/>
              </w:rPr>
              <w:t xml:space="preserve">（2）法律法规检索：需支持用户快速精准检索，提供查看功能，方便浏览法律条文和文件内容。此外，系统有灵活的导出功能。</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330"/>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71</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提醒管理</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823"/>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（1）提醒列表：需具备用户可以直观地看到所有提醒内容。</w:t>
            </w:r>
            <w:r>
              <w:rPr>
                <w:sz w:val="18"/>
                <w:szCs w:val="18"/>
              </w:rPr>
            </w:r>
            <w:r/>
          </w:p>
          <w:p>
            <w:pPr>
              <w:pStyle w:val="998"/>
              <w:spacing w:line="300" w:lineRule="exact"/>
              <w:widowControl/>
              <w:rPr>
                <w:sz w:val="18"/>
                <w:szCs w:val="18"/>
              </w:rPr>
            </w:pPr>
            <w:r>
              <w:rPr>
                <w:rFonts w:hint="eastAsia"/>
                <w:sz w:val="18"/>
                <w:szCs w:val="18"/>
              </w:rPr>
              <w:t xml:space="preserve">（2）添加提醒：需具备用户在系统消息提醒列表中添加新的提醒项，还能将添加的提醒内容迅速下发至相关机构，确保信息的及时传递和执行。</w:t>
            </w:r>
            <w:r>
              <w:rPr>
                <w:sz w:val="18"/>
                <w:szCs w:val="18"/>
              </w:rPr>
            </w:r>
            <w:r/>
          </w:p>
          <w:p>
            <w:pPr>
              <w:pStyle w:val="998"/>
              <w:spacing w:line="300" w:lineRule="exact"/>
              <w:widowControl/>
              <w:rPr>
                <w:sz w:val="18"/>
                <w:szCs w:val="18"/>
              </w:rPr>
            </w:pPr>
            <w:r>
              <w:rPr>
                <w:rFonts w:hint="eastAsia"/>
                <w:sz w:val="18"/>
                <w:szCs w:val="18"/>
              </w:rPr>
              <w:t xml:space="preserve">（3）提醒管理：需具备用户可以一目了然地查看所有提醒内容。在此基础上，系统还支持对提醒信息的全面管理，包括查询、修改、删除以及查看等操作，</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rFonts w:hint="eastAsia"/>
                <w:b/>
                <w:bCs/>
                <w:sz w:val="18"/>
                <w:szCs w:val="18"/>
              </w:rPr>
              <w:t xml:space="preserve">7</w:t>
            </w:r>
            <w:r>
              <w:rPr>
                <w:b/>
                <w:bCs/>
                <w:sz w:val="18"/>
                <w:szCs w:val="18"/>
              </w:rPr>
              <w:t xml:space="preserve">2</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统计分析</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（1）机构下发指标统计：需支持全面查询各类机构下发指标统计数据，有数据下钻功能，能以多种图表展示数据，支持数据导出，构成高效数据管理和分析平台，提升工作效率。</w:t>
            </w:r>
            <w:r>
              <w:rPr>
                <w:sz w:val="18"/>
                <w:szCs w:val="18"/>
              </w:rPr>
            </w:r>
            <w:r/>
          </w:p>
          <w:p>
            <w:pPr>
              <w:pStyle w:val="998"/>
              <w:spacing w:line="300" w:lineRule="exact"/>
              <w:widowControl/>
              <w:rPr>
                <w:sz w:val="18"/>
                <w:szCs w:val="18"/>
              </w:rPr>
            </w:pPr>
            <w:r>
              <w:rPr>
                <w:rFonts w:hint="eastAsia"/>
                <w:sz w:val="18"/>
                <w:szCs w:val="18"/>
              </w:rPr>
              <w:t xml:space="preserve">（2）汇总报告：需支持按特定时间段自动生成各类机构汇总报告并上传至指定平台，报告支持查询、查看、下载、删除等操作，确保信息准确及时。</w:t>
            </w:r>
            <w:r>
              <w:rPr>
                <w:sz w:val="18"/>
                <w:szCs w:val="18"/>
              </w:rPr>
            </w:r>
            <w:r/>
          </w:p>
          <w:p>
            <w:pPr>
              <w:pStyle w:val="998"/>
              <w:spacing w:line="300" w:lineRule="exact"/>
              <w:widowControl/>
              <w:rPr>
                <w:sz w:val="18"/>
                <w:szCs w:val="18"/>
              </w:rPr>
            </w:pPr>
            <w:r>
              <w:rPr>
                <w:rFonts w:hint="eastAsia"/>
                <w:sz w:val="18"/>
                <w:szCs w:val="18"/>
              </w:rPr>
              <w:t xml:space="preserve">（3）任务检查结果统计：需支持每日凌晨系统自动汇总医疗机构任务检查结果，生成统计报告，支持按机构层级和任务状态查询，为管理决策提供数据支持。</w:t>
            </w:r>
            <w:r>
              <w:rPr>
                <w:sz w:val="18"/>
                <w:szCs w:val="18"/>
              </w:rPr>
            </w:r>
            <w:r/>
          </w:p>
          <w:p>
            <w:pPr>
              <w:pStyle w:val="998"/>
              <w:spacing w:line="300" w:lineRule="exact"/>
              <w:widowControl/>
              <w:rPr>
                <w:sz w:val="18"/>
                <w:szCs w:val="18"/>
              </w:rPr>
            </w:pPr>
            <w:r>
              <w:rPr>
                <w:rFonts w:hint="eastAsia"/>
                <w:sz w:val="18"/>
                <w:szCs w:val="18"/>
              </w:rPr>
              <w:t xml:space="preserve">（4）机构检查结果统计：需支持每日凌晨自动汇总医疗机构检查结果数据，生成报表，支持按机构层级和任务状态查询、数据导出及附件下载，提升数据管理便捷性。</w:t>
            </w:r>
            <w:r>
              <w:rPr>
                <w:sz w:val="18"/>
                <w:szCs w:val="18"/>
              </w:rPr>
            </w:r>
            <w:r/>
          </w:p>
          <w:p>
            <w:pPr>
              <w:pStyle w:val="998"/>
              <w:spacing w:line="300" w:lineRule="exact"/>
              <w:widowControl/>
              <w:rPr>
                <w:sz w:val="18"/>
                <w:szCs w:val="18"/>
              </w:rPr>
            </w:pPr>
            <w:r>
              <w:rPr>
                <w:rFonts w:hint="eastAsia"/>
                <w:sz w:val="18"/>
                <w:szCs w:val="18"/>
              </w:rPr>
              <w:t xml:space="preserve">（5）机构合格情况统计：需支持对医疗机构任务执行合格情况分类统计，各分类每日凌晨自动运行定时器汇总数据，支持查询和导出，便于分析决策。</w:t>
            </w:r>
            <w:r>
              <w:rPr>
                <w:sz w:val="18"/>
                <w:szCs w:val="18"/>
              </w:rPr>
            </w:r>
            <w:r/>
          </w:p>
          <w:p>
            <w:pPr>
              <w:pStyle w:val="998"/>
              <w:spacing w:line="300" w:lineRule="exact"/>
              <w:widowControl/>
              <w:rPr>
                <w:sz w:val="18"/>
                <w:szCs w:val="18"/>
              </w:rPr>
            </w:pPr>
            <w:r>
              <w:rPr>
                <w:rFonts w:hint="eastAsia"/>
                <w:sz w:val="18"/>
                <w:szCs w:val="18"/>
              </w:rPr>
              <w:t xml:space="preserve">（6）机构整改任务统计：需支持对医疗机构整改任务执行情况分类统计，各分类有每日凌晨自动运行定时器汇总数据，支持查询和导出，便于分析决策。</w:t>
            </w:r>
            <w:r>
              <w:rPr>
                <w:sz w:val="18"/>
                <w:szCs w:val="18"/>
              </w:rPr>
            </w:r>
            <w:r/>
          </w:p>
          <w:p>
            <w:pPr>
              <w:pStyle w:val="998"/>
              <w:spacing w:line="300" w:lineRule="exact"/>
              <w:widowControl/>
              <w:rPr>
                <w:sz w:val="18"/>
                <w:szCs w:val="18"/>
              </w:rPr>
            </w:pPr>
            <w:r>
              <w:rPr>
                <w:rFonts w:hint="eastAsia"/>
                <w:sz w:val="18"/>
                <w:szCs w:val="18"/>
              </w:rPr>
              <w:t xml:space="preserve">（7）自查工作情况统计：需支持按医疗机构相关条件全面统计多项信息，每日凌晨自动运行定时器汇总数据，支持查询和导出，便于分析医疗机构自查工作情况。</w:t>
            </w:r>
            <w:r>
              <w:rPr>
                <w:sz w:val="18"/>
                <w:szCs w:val="18"/>
              </w:rPr>
            </w:r>
            <w:r/>
          </w:p>
          <w:p>
            <w:pPr>
              <w:pStyle w:val="998"/>
              <w:spacing w:line="300" w:lineRule="exact"/>
              <w:widowControl/>
              <w:rPr>
                <w:sz w:val="18"/>
                <w:szCs w:val="18"/>
              </w:rPr>
            </w:pPr>
            <w:r>
              <w:rPr>
                <w:rFonts w:hint="eastAsia"/>
                <w:sz w:val="18"/>
                <w:szCs w:val="18"/>
              </w:rPr>
              <w:t xml:space="preserve">（8）机构完善情况统计：需支持按时间统计各地区机构信息完善情况，含多项完成率信息，每日凌晨自动运行定时器汇总数据，支持查询和导出，便于分析。</w:t>
            </w:r>
            <w:r>
              <w:rPr>
                <w:sz w:val="18"/>
                <w:szCs w:val="18"/>
              </w:rPr>
            </w:r>
            <w:r/>
          </w:p>
          <w:p>
            <w:pPr>
              <w:pStyle w:val="998"/>
              <w:spacing w:line="300" w:lineRule="exact"/>
              <w:widowControl/>
              <w:rPr>
                <w:sz w:val="18"/>
                <w:szCs w:val="18"/>
              </w:rPr>
            </w:pPr>
            <w:r>
              <w:rPr>
                <w:rFonts w:hint="eastAsia"/>
                <w:sz w:val="18"/>
                <w:szCs w:val="18"/>
              </w:rPr>
              <w:t xml:space="preserve">（9）各地任务完成情况统计：需支持按时间统计各地区任务完成情况，含多项完成率信息，每日凌晨自动运行定时器汇总数据，支持查询和导出，便于分析。</w:t>
            </w:r>
            <w:r>
              <w:rPr>
                <w:sz w:val="18"/>
                <w:szCs w:val="18"/>
              </w:rPr>
            </w:r>
            <w:r/>
          </w:p>
          <w:p>
            <w:pPr>
              <w:pStyle w:val="998"/>
              <w:spacing w:line="300" w:lineRule="exact"/>
              <w:widowControl/>
              <w:rPr>
                <w:sz w:val="18"/>
                <w:szCs w:val="18"/>
              </w:rPr>
            </w:pPr>
            <w:r>
              <w:rPr>
                <w:rFonts w:hint="eastAsia"/>
                <w:sz w:val="18"/>
                <w:szCs w:val="18"/>
              </w:rPr>
              <w:t xml:space="preserve">（10）各地专项任务统计：需支持按时间统计各地区专项任务执行情况，含多项完成率信息，每日凌晨自动运行定时器汇总数据，支持查询和导出，便于分析。</w:t>
            </w:r>
            <w:r>
              <w:rPr>
                <w:sz w:val="18"/>
                <w:szCs w:val="18"/>
              </w:rPr>
            </w:r>
            <w:r/>
          </w:p>
          <w:p>
            <w:pPr>
              <w:pStyle w:val="998"/>
              <w:spacing w:line="300" w:lineRule="exact"/>
              <w:widowControl/>
              <w:rPr>
                <w:sz w:val="18"/>
                <w:szCs w:val="18"/>
              </w:rPr>
            </w:pPr>
            <w:r>
              <w:rPr>
                <w:rFonts w:hint="eastAsia"/>
                <w:sz w:val="18"/>
                <w:szCs w:val="18"/>
              </w:rPr>
              <w:t xml:space="preserve">（11）各地日常任务统计：需支持按时间统计各地区日常任务执行情况，含多项完成率信息，每日凌晨自动运行定时器汇总数据，支持查询和导出，便于分析。</w:t>
            </w:r>
            <w:r>
              <w:rPr>
                <w:sz w:val="18"/>
                <w:szCs w:val="18"/>
              </w:rPr>
            </w:r>
            <w:r/>
          </w:p>
          <w:p>
            <w:pPr>
              <w:pStyle w:val="998"/>
              <w:spacing w:line="300" w:lineRule="exact"/>
              <w:widowControl/>
              <w:rPr>
                <w:sz w:val="18"/>
                <w:szCs w:val="18"/>
              </w:rPr>
            </w:pPr>
            <w:r>
              <w:rPr>
                <w:rFonts w:hint="eastAsia"/>
                <w:sz w:val="18"/>
                <w:szCs w:val="18"/>
              </w:rPr>
              <w:t xml:space="preserve">（12）机构完成情况分析：需支持按时间统计各地区自查任务完成量覆盖情况，含多项完成率信息，每日凌晨自动运行定时器汇总数据，支持查询和导出，便于分析。</w:t>
            </w:r>
            <w:r>
              <w:rPr>
                <w:sz w:val="18"/>
                <w:szCs w:val="18"/>
              </w:rPr>
            </w:r>
            <w:r/>
          </w:p>
          <w:p>
            <w:pPr>
              <w:pStyle w:val="998"/>
              <w:spacing w:line="300" w:lineRule="exact"/>
              <w:widowControl/>
              <w:rPr>
                <w:sz w:val="18"/>
                <w:szCs w:val="18"/>
              </w:rPr>
            </w:pPr>
            <w:r>
              <w:rPr>
                <w:rFonts w:hint="eastAsia"/>
                <w:sz w:val="18"/>
                <w:szCs w:val="18"/>
              </w:rPr>
              <w:t xml:space="preserve">（13）机构开展情况分析：需支持按时间统计各地区自查机构开展情况，含多项完成率信息，每日凌晨自动运行定时器汇总数据，支持查询和导出，便于分析。</w:t>
            </w:r>
            <w:r>
              <w:rPr>
                <w:sz w:val="18"/>
                <w:szCs w:val="18"/>
              </w:rPr>
            </w:r>
            <w:r/>
          </w:p>
          <w:p>
            <w:pPr>
              <w:pStyle w:val="998"/>
              <w:spacing w:line="300" w:lineRule="exact"/>
              <w:widowControl/>
              <w:rPr>
                <w:rFonts w:ascii="仿宋" w:hAnsi="仿宋" w:eastAsia="仿宋" w:cs="仿宋"/>
                <w:b/>
              </w:rPr>
            </w:pPr>
            <w:r>
              <w:rPr>
                <w:rFonts w:hint="eastAsia"/>
                <w:sz w:val="18"/>
                <w:szCs w:val="18"/>
              </w:rPr>
              <w:t xml:space="preserve">（14）指标完成情况分析：需支持按时间统计各地区各级机构下发指标总数、完成检查指标总数及占比等信息，每日凌晨自动运行定时器汇总数据，支持查询和导出，便于分析。 </w:t>
            </w:r>
            <w:r>
              <w:rPr>
                <w:rFonts w:ascii="仿宋" w:hAnsi="仿宋" w:eastAsia="仿宋" w:cs="仿宋"/>
                <w:b/>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73</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系统维护</w:t>
            </w:r>
            <w:r>
              <w:rPr>
                <w:rFonts w:hint="eastAsia"/>
                <w:b/>
                <w:bCs/>
                <w:color w:val="000000"/>
                <w:sz w:val="18"/>
                <w:szCs w:val="18"/>
              </w:rPr>
              <w:tab/>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（1）部门信息：需支持对系统中各级医疗机构树形结构展示层级关系，并可对机构部门信息进行添加、修改、删除等功能；</w:t>
            </w:r>
            <w:r>
              <w:rPr>
                <w:sz w:val="18"/>
                <w:szCs w:val="18"/>
              </w:rPr>
            </w:r>
            <w:r/>
          </w:p>
          <w:p>
            <w:pPr>
              <w:pStyle w:val="998"/>
              <w:spacing w:line="300" w:lineRule="exact"/>
              <w:widowControl/>
              <w:rPr>
                <w:sz w:val="18"/>
                <w:szCs w:val="18"/>
              </w:rPr>
            </w:pPr>
            <w:r>
              <w:rPr>
                <w:rFonts w:hint="eastAsia"/>
                <w:sz w:val="18"/>
                <w:szCs w:val="18"/>
              </w:rPr>
              <w:t xml:space="preserve">（2）用户信息管理：需具备对系统中各级医疗机构登录账号进行维护和管理、可进行医疗机构账户添加、修改、删除、导入账户、导出账户、导出日志查看、复制账户等功能；</w:t>
            </w:r>
            <w:r>
              <w:rPr>
                <w:sz w:val="18"/>
                <w:szCs w:val="18"/>
              </w:rPr>
            </w:r>
            <w:r/>
          </w:p>
          <w:p>
            <w:pPr>
              <w:pStyle w:val="998"/>
              <w:spacing w:line="300" w:lineRule="exact"/>
              <w:widowControl/>
              <w:rPr>
                <w:sz w:val="18"/>
                <w:szCs w:val="18"/>
              </w:rPr>
            </w:pPr>
            <w:r>
              <w:rPr>
                <w:rFonts w:hint="eastAsia"/>
                <w:sz w:val="18"/>
                <w:szCs w:val="18"/>
              </w:rPr>
              <w:t xml:space="preserve">（3）组织机构维护：需具备对系统中单位信息和组织机构部门信息进行添加、修改、删除、查询等功能；</w:t>
            </w:r>
            <w:r>
              <w:rPr>
                <w:sz w:val="18"/>
                <w:szCs w:val="18"/>
              </w:rPr>
            </w:r>
            <w:r/>
          </w:p>
          <w:p>
            <w:pPr>
              <w:pStyle w:val="998"/>
              <w:spacing w:line="300" w:lineRule="exact"/>
              <w:widowControl/>
              <w:rPr>
                <w:sz w:val="18"/>
                <w:szCs w:val="18"/>
              </w:rPr>
            </w:pPr>
            <w:r>
              <w:rPr>
                <w:rFonts w:hint="eastAsia"/>
                <w:sz w:val="18"/>
                <w:szCs w:val="18"/>
              </w:rPr>
              <w:t xml:space="preserve">（4）角色管理模板：需具备对系统中涉及的角色信息进行维护和管理，可进行角色添加、修改、删除、查询等功能；</w:t>
            </w:r>
            <w:r>
              <w:rPr>
                <w:sz w:val="18"/>
                <w:szCs w:val="18"/>
              </w:rPr>
            </w:r>
            <w:r/>
          </w:p>
          <w:p>
            <w:pPr>
              <w:pStyle w:val="998"/>
              <w:spacing w:line="300" w:lineRule="exact"/>
              <w:widowControl/>
              <w:rPr>
                <w:sz w:val="18"/>
                <w:szCs w:val="18"/>
              </w:rPr>
            </w:pPr>
            <w:r>
              <w:rPr>
                <w:rFonts w:hint="eastAsia"/>
                <w:sz w:val="18"/>
                <w:szCs w:val="18"/>
              </w:rPr>
              <w:t xml:space="preserve">（5）功能授权配置：需具备对系统中涉及的角色和用户信息进行权限配置，可按实际需求进行角色或用户的权限增加或减少等功能；</w:t>
            </w:r>
            <w:r>
              <w:rPr>
                <w:sz w:val="18"/>
                <w:szCs w:val="18"/>
              </w:rPr>
            </w:r>
            <w:r/>
          </w:p>
          <w:p>
            <w:pPr>
              <w:pStyle w:val="998"/>
              <w:spacing w:line="300" w:lineRule="exact"/>
              <w:widowControl/>
              <w:rPr>
                <w:sz w:val="18"/>
                <w:szCs w:val="18"/>
              </w:rPr>
            </w:pPr>
            <w:r>
              <w:rPr>
                <w:rFonts w:hint="eastAsia"/>
                <w:sz w:val="18"/>
                <w:szCs w:val="18"/>
              </w:rPr>
              <w:t xml:space="preserve">（6）系统问题管理：需具备系统使用过程中遇到的系统问题进行反馈，可实现医疗机构反馈问题，维护人员进行问题回复处理等功能；</w:t>
            </w:r>
            <w:r>
              <w:rPr>
                <w:sz w:val="18"/>
                <w:szCs w:val="18"/>
              </w:rPr>
            </w:r>
            <w:r/>
          </w:p>
          <w:p>
            <w:pPr>
              <w:pStyle w:val="998"/>
              <w:spacing w:line="300" w:lineRule="exact"/>
              <w:widowControl/>
              <w:rPr>
                <w:sz w:val="18"/>
                <w:szCs w:val="18"/>
              </w:rPr>
            </w:pPr>
            <w:r>
              <w:rPr>
                <w:rFonts w:hint="eastAsia"/>
                <w:sz w:val="18"/>
                <w:szCs w:val="18"/>
              </w:rPr>
              <w:t xml:space="preserve">（7）其他辅助功能：需具备系统使用过程中的用户操作日志和登录日志信息进行查询等功能；</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74</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基本配置</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（1）临时报表：需具备系统使用过程中临时报表统计查询、可查询各医疗机构医师护士数据统计、可以按统计大屏显示统计数据，支持数据导出等功能；</w:t>
            </w:r>
            <w:r>
              <w:rPr>
                <w:sz w:val="18"/>
                <w:szCs w:val="18"/>
              </w:rPr>
            </w:r>
            <w:r/>
          </w:p>
          <w:p>
            <w:pPr>
              <w:pStyle w:val="998"/>
              <w:spacing w:line="300" w:lineRule="exact"/>
              <w:widowControl/>
              <w:rPr>
                <w:sz w:val="18"/>
                <w:szCs w:val="18"/>
              </w:rPr>
            </w:pPr>
            <w:r>
              <w:rPr>
                <w:rFonts w:hint="eastAsia"/>
                <w:sz w:val="18"/>
                <w:szCs w:val="18"/>
              </w:rPr>
              <w:t xml:space="preserve">（2）配置管理：需具备系统服务器相关配置参数调整，可进行服务器清理缓存、线程监控、DC日志查询、刷新权限等功能；</w:t>
            </w:r>
            <w:r>
              <w:rPr>
                <w:sz w:val="18"/>
                <w:szCs w:val="18"/>
              </w:rPr>
            </w:r>
            <w:r/>
          </w:p>
          <w:p>
            <w:pPr>
              <w:pStyle w:val="998"/>
              <w:spacing w:line="300" w:lineRule="exact"/>
              <w:widowControl/>
              <w:rPr>
                <w:sz w:val="18"/>
                <w:szCs w:val="18"/>
              </w:rPr>
            </w:pPr>
            <w:r>
              <w:rPr>
                <w:rFonts w:hint="eastAsia"/>
                <w:sz w:val="18"/>
                <w:szCs w:val="18"/>
              </w:rPr>
              <w:t xml:space="preserve">（3）用户日志：需具备系统使用过程中用户日志信息查询等功能；</w:t>
            </w:r>
            <w:r>
              <w:rPr>
                <w:sz w:val="18"/>
                <w:szCs w:val="18"/>
              </w:rPr>
            </w:r>
            <w:r/>
          </w:p>
          <w:p>
            <w:pPr>
              <w:pStyle w:val="998"/>
              <w:spacing w:line="300" w:lineRule="exact"/>
              <w:widowControl/>
              <w:rPr>
                <w:sz w:val="18"/>
                <w:szCs w:val="18"/>
              </w:rPr>
            </w:pPr>
            <w:r>
              <w:rPr>
                <w:rFonts w:hint="eastAsia"/>
                <w:sz w:val="18"/>
                <w:szCs w:val="18"/>
              </w:rPr>
              <w:t xml:space="preserve">（4）部门日志：需具备系统使用过程中部门日志信息查询等功能；</w:t>
            </w:r>
            <w:r>
              <w:rPr>
                <w:sz w:val="18"/>
                <w:szCs w:val="18"/>
              </w:rPr>
            </w:r>
            <w:r/>
          </w:p>
          <w:p>
            <w:pPr>
              <w:pStyle w:val="998"/>
              <w:spacing w:line="300" w:lineRule="exact"/>
              <w:widowControl/>
              <w:rPr>
                <w:sz w:val="18"/>
                <w:szCs w:val="18"/>
              </w:rPr>
            </w:pPr>
            <w:r>
              <w:rPr>
                <w:rFonts w:hint="eastAsia"/>
                <w:sz w:val="18"/>
                <w:szCs w:val="18"/>
              </w:rPr>
              <w:t xml:space="preserve">（5）机构日志：需具备系统使用过程中机构使用日志信息查询等功能；</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75</w:t>
            </w:r>
            <w:r>
              <w:rPr>
                <w:b/>
                <w:bCs/>
                <w:sz w:val="18"/>
                <w:szCs w:val="18"/>
              </w:rPr>
            </w:r>
            <w:r/>
          </w:p>
        </w:tc>
        <w:tc>
          <w:tcPr>
            <w:tcW w:w="4196" w:type="dxa"/>
            <w:vAlign w:val="center"/>
            <w:textDirection w:val="lrTb"/>
            <w:noWrap w:val="false"/>
          </w:tcPr>
          <w:p>
            <w:pPr>
              <w:pStyle w:val="998"/>
              <w:spacing w:line="300" w:lineRule="exact"/>
              <w:rPr>
                <w:sz w:val="18"/>
                <w:szCs w:val="18"/>
              </w:rPr>
            </w:pPr>
            <w:r>
              <w:rPr>
                <w:rFonts w:hint="eastAsia"/>
                <w:b/>
                <w:bCs/>
                <w:color w:val="000000"/>
                <w:sz w:val="18"/>
                <w:szCs w:val="18"/>
              </w:rPr>
              <w:t xml:space="preserve">微信公众号</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（1）指标查询：需具备查询医疗机构自查相关指标检查的具体内容等功能；</w:t>
            </w:r>
            <w:r>
              <w:rPr>
                <w:sz w:val="18"/>
                <w:szCs w:val="18"/>
              </w:rPr>
            </w:r>
            <w:r/>
          </w:p>
          <w:p>
            <w:pPr>
              <w:pStyle w:val="998"/>
              <w:spacing w:line="300" w:lineRule="exact"/>
              <w:widowControl/>
              <w:rPr>
                <w:sz w:val="18"/>
                <w:szCs w:val="18"/>
              </w:rPr>
            </w:pPr>
            <w:r>
              <w:rPr>
                <w:rFonts w:hint="eastAsia"/>
                <w:sz w:val="18"/>
                <w:szCs w:val="18"/>
              </w:rPr>
              <w:t xml:space="preserve">（2）法律法规：需具备查询医疗机构相关法律法规最新条文内容等功能；</w:t>
            </w:r>
            <w:r>
              <w:rPr>
                <w:sz w:val="18"/>
                <w:szCs w:val="18"/>
              </w:rPr>
            </w:r>
            <w:r/>
          </w:p>
          <w:p>
            <w:pPr>
              <w:pStyle w:val="998"/>
              <w:spacing w:line="300" w:lineRule="exact"/>
              <w:widowControl/>
              <w:rPr>
                <w:sz w:val="18"/>
                <w:szCs w:val="18"/>
              </w:rPr>
            </w:pPr>
            <w:r>
              <w:rPr>
                <w:rFonts w:hint="eastAsia"/>
                <w:sz w:val="18"/>
                <w:szCs w:val="18"/>
              </w:rPr>
              <w:t xml:space="preserve">（3）执法自查：需具备医疗机构专家和机构协管员登录进行任务检查结果填写和检查要点及对象法律法规条文查看，支持查看本机构信息等功能。</w:t>
            </w:r>
            <w:r>
              <w:rPr>
                <w:sz w:val="18"/>
                <w:szCs w:val="18"/>
              </w:rPr>
            </w:r>
            <w:r/>
          </w:p>
          <w:p>
            <w:pPr>
              <w:pStyle w:val="998"/>
              <w:spacing w:line="300" w:lineRule="exact"/>
              <w:widowControl/>
              <w:rPr>
                <w:sz w:val="18"/>
                <w:szCs w:val="18"/>
              </w:rPr>
            </w:pPr>
            <w:r>
              <w:rPr>
                <w:rFonts w:hint="eastAsia"/>
                <w:sz w:val="18"/>
                <w:szCs w:val="18"/>
              </w:rPr>
              <w:t xml:space="preserve">（4）医疗机构信息：需具备查询到自己管辖范围内的医疗机构的基本信息，包括机构名称、地址、联系方式、服务范围等详细资料.</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十七、医疗服务多元化信息子系统</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rPr>
              <w:t xml:space="preserve">医疗服务多元化信息子系统，旨在重新改造程序代码以确保其与新架构兼容，并与全民健康信息平台整合，支撑国产化环境中构建一个全面、集成、高效的医疗服务多元化信息监管平台。</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b/>
                <w:bCs/>
                <w:sz w:val="18"/>
                <w:szCs w:val="18"/>
              </w:rPr>
              <w:t xml:space="preserve">76</w:t>
            </w:r>
            <w:r>
              <w:rPr>
                <w:sz w:val="18"/>
                <w:szCs w:val="18"/>
              </w:rPr>
            </w:r>
            <w:r/>
          </w:p>
        </w:tc>
        <w:tc>
          <w:tcPr>
            <w:tcW w:w="4196" w:type="dxa"/>
            <w:vAlign w:val="center"/>
            <w:textDirection w:val="lrTb"/>
            <w:noWrap w:val="false"/>
          </w:tcPr>
          <w:p>
            <w:pPr>
              <w:pStyle w:val="998"/>
              <w:spacing w:line="300" w:lineRule="exact"/>
              <w:rPr>
                <w:b/>
                <w:bCs/>
                <w:sz w:val="18"/>
                <w:szCs w:val="18"/>
              </w:rPr>
            </w:pPr>
            <w:r>
              <w:rPr>
                <w:rFonts w:hint="eastAsia"/>
                <w:b/>
                <w:bCs/>
                <w:color w:val="000000"/>
                <w:sz w:val="18"/>
                <w:szCs w:val="18"/>
              </w:rPr>
              <w:t xml:space="preserve">多元化监管全景分析</w:t>
            </w:r>
            <w:r>
              <w:rPr>
                <w:b/>
                <w:bCs/>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（1）整体态势看板：围绕机构运行情况、卫生监督监督执法、社会满意度情况和综合信用评价构建医疗服务整体态势看板。</w:t>
            </w:r>
            <w:r>
              <w:rPr>
                <w:sz w:val="18"/>
                <w:szCs w:val="18"/>
              </w:rPr>
            </w:r>
            <w:r/>
          </w:p>
          <w:p>
            <w:pPr>
              <w:pStyle w:val="998"/>
              <w:spacing w:line="300" w:lineRule="exact"/>
              <w:widowControl/>
              <w:rPr>
                <w:sz w:val="18"/>
                <w:szCs w:val="18"/>
              </w:rPr>
            </w:pPr>
            <w:r>
              <w:rPr>
                <w:rFonts w:hint="eastAsia"/>
                <w:sz w:val="18"/>
                <w:szCs w:val="18"/>
              </w:rPr>
              <w:t xml:space="preserve">（2）风险预警看板：集中展示系统运行中采集到的风险点，包括大额处方预警、自查任务未开展、行政处罚预警。</w:t>
            </w:r>
            <w:r>
              <w:rPr>
                <w:sz w:val="18"/>
                <w:szCs w:val="18"/>
              </w:rPr>
            </w:r>
            <w:r/>
          </w:p>
          <w:p>
            <w:pPr>
              <w:pStyle w:val="998"/>
              <w:spacing w:line="300" w:lineRule="exact"/>
              <w:widowControl/>
              <w:rPr>
                <w:sz w:val="18"/>
                <w:szCs w:val="18"/>
              </w:rPr>
            </w:pPr>
            <w:r>
              <w:rPr>
                <w:rFonts w:hint="eastAsia"/>
                <w:sz w:val="18"/>
                <w:szCs w:val="18"/>
              </w:rPr>
              <w:t xml:space="preserve">（3）机构运行看板：围绕医疗业务监测指标、医疗费用监测指标、运营效率监测指标和医疗绩效监测指标构建医疗机构运行看板。</w:t>
            </w:r>
            <w:r>
              <w:rPr>
                <w:sz w:val="18"/>
                <w:szCs w:val="18"/>
              </w:rPr>
            </w:r>
            <w:r/>
          </w:p>
          <w:p>
            <w:pPr>
              <w:pStyle w:val="998"/>
              <w:spacing w:line="300" w:lineRule="exact"/>
              <w:widowControl/>
              <w:rPr>
                <w:sz w:val="18"/>
                <w:szCs w:val="18"/>
              </w:rPr>
            </w:pPr>
            <w:r>
              <w:rPr>
                <w:rFonts w:hint="eastAsia"/>
                <w:sz w:val="18"/>
                <w:szCs w:val="18"/>
              </w:rPr>
              <w:t xml:space="preserve">（4）监督执法看板：围绕监督执法情况、监督检查情况、信用评价工作情况、依法职业学习考试情况和非现场执法情况构建监督执法看板。</w:t>
            </w:r>
            <w:r>
              <w:rPr>
                <w:sz w:val="18"/>
                <w:szCs w:val="18"/>
              </w:rPr>
            </w:r>
            <w:r/>
          </w:p>
          <w:p>
            <w:pPr>
              <w:pStyle w:val="998"/>
              <w:spacing w:line="300" w:lineRule="exact"/>
              <w:widowControl/>
              <w:rPr>
                <w:sz w:val="18"/>
                <w:szCs w:val="18"/>
              </w:rPr>
            </w:pPr>
            <w:r>
              <w:rPr>
                <w:rFonts w:hint="eastAsia"/>
                <w:sz w:val="18"/>
                <w:szCs w:val="18"/>
              </w:rPr>
              <w:t xml:space="preserve">（5）社会监督看板：围绕投诉举报和满意度构建社会监督看板。</w:t>
            </w:r>
            <w:r>
              <w:rPr>
                <w:sz w:val="18"/>
                <w:szCs w:val="18"/>
              </w:rPr>
            </w:r>
            <w:r/>
          </w:p>
          <w:p>
            <w:pPr>
              <w:pStyle w:val="998"/>
              <w:spacing w:line="300" w:lineRule="exact"/>
              <w:widowControl/>
              <w:rPr>
                <w:sz w:val="18"/>
                <w:szCs w:val="18"/>
              </w:rPr>
            </w:pPr>
            <w:r>
              <w:rPr>
                <w:rFonts w:hint="eastAsia"/>
                <w:sz w:val="18"/>
                <w:szCs w:val="18"/>
              </w:rPr>
              <w:t xml:space="preserve">（6）传染病监管看板：围绕传染病上报情况和传染病防治评价构建传染病监管看板。</w:t>
            </w:r>
            <w:r>
              <w:rPr>
                <w:sz w:val="18"/>
                <w:szCs w:val="18"/>
              </w:rPr>
            </w:r>
            <w:r/>
          </w:p>
          <w:p>
            <w:pPr>
              <w:pStyle w:val="1010"/>
              <w:ind w:firstLine="0"/>
              <w:rPr>
                <w:rFonts w:hint="eastAsia"/>
                <w:b/>
                <w:bCs/>
                <w:lang w:eastAsia="zh-CN"/>
              </w:rPr>
            </w:pPr>
            <w:r>
              <w:rPr>
                <w:rFonts w:hint="eastAsia"/>
                <w:b/>
                <w:bCs/>
                <w:lang w:eastAsia="zh-CN"/>
              </w:rPr>
              <w:t xml:space="preserve">注：提供信息系统功能截图佐证，不提供不得分。</w:t>
            </w:r>
            <w:r>
              <w:rPr>
                <w:rFonts w:hint="eastAsia"/>
                <w:b/>
                <w:bCs/>
                <w:lang w:eastAsia="zh-CN"/>
              </w:rPr>
            </w:r>
            <w:r/>
          </w:p>
        </w:tc>
        <w:tc>
          <w:tcPr>
            <w:tcW w:w="413" w:type="dxa"/>
            <w:vAlign w:val="center"/>
            <w:textDirection w:val="lrTb"/>
            <w:noWrap w:val="false"/>
          </w:tcPr>
          <w:p>
            <w:pPr>
              <w:pStyle w:val="998"/>
              <w:spacing w:line="300" w:lineRule="exact"/>
              <w:widowControl/>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77</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多元化信用管理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（1）信用档案：归集机构基本信息、医护人员、信用积分、机构自查、政府监督、行业自律和社会监督信息，建设医疗机构档案；归集公共场所机构信息、非现场执法信息，构建其他档案。</w:t>
            </w:r>
            <w:r>
              <w:rPr>
                <w:sz w:val="18"/>
                <w:szCs w:val="18"/>
              </w:rPr>
            </w:r>
            <w:r/>
          </w:p>
          <w:p>
            <w:pPr>
              <w:pStyle w:val="998"/>
              <w:spacing w:line="300" w:lineRule="exact"/>
              <w:widowControl/>
              <w:rPr>
                <w:sz w:val="18"/>
                <w:szCs w:val="18"/>
              </w:rPr>
            </w:pPr>
            <w:r>
              <w:rPr>
                <w:rFonts w:hint="eastAsia"/>
                <w:sz w:val="18"/>
                <w:szCs w:val="18"/>
              </w:rPr>
              <w:t xml:space="preserve">（2）信用评价：对护理院、公立医院机构、医美等不同机构建设信用等级评分和统计功能。</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78</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多元化监管大厅</w:t>
            </w:r>
            <w:r>
              <w:rPr>
                <w:b/>
                <w:bCs/>
                <w:color w:val="000000"/>
                <w:sz w:val="18"/>
                <w:szCs w:val="18"/>
              </w:rPr>
            </w:r>
            <w:r/>
          </w:p>
        </w:tc>
        <w:tc>
          <w:tcPr>
            <w:tcW w:w="413" w:type="dxa"/>
            <w:vAlign w:val="center"/>
            <w:textDirection w:val="lrTb"/>
            <w:noWrap w:val="false"/>
          </w:tcPr>
          <w:p>
            <w:pPr>
              <w:pStyle w:val="998"/>
              <w:spacing w:line="300" w:lineRule="exact"/>
              <w:rPr>
                <w:sz w:val="18"/>
                <w:szCs w:val="18"/>
              </w:rPr>
            </w:pPr>
            <w:r>
              <w:rPr>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（1）机构自治：建设医疗机构自查任务查询功能，展示医疗机构自查任务开展情况。</w:t>
            </w:r>
            <w:r>
              <w:rPr>
                <w:sz w:val="18"/>
                <w:szCs w:val="18"/>
              </w:rPr>
            </w:r>
            <w:r/>
          </w:p>
          <w:p>
            <w:pPr>
              <w:pStyle w:val="998"/>
              <w:spacing w:line="300" w:lineRule="exact"/>
              <w:widowControl/>
              <w:rPr>
                <w:sz w:val="18"/>
                <w:szCs w:val="18"/>
              </w:rPr>
            </w:pPr>
            <w:r>
              <w:rPr>
                <w:rFonts w:hint="eastAsia"/>
                <w:sz w:val="18"/>
                <w:szCs w:val="18"/>
              </w:rPr>
              <w:t xml:space="preserve">（2）行业自律：建设质控中心上报平台，通过多元化监管大厅跳转到质控中心上报平台。建设抗菌抗肿瘤药品备案流程，实现机构登记、药事质控派单、专家会审、卫健委审批。</w:t>
            </w:r>
            <w:r>
              <w:rPr>
                <w:sz w:val="18"/>
                <w:szCs w:val="18"/>
              </w:rPr>
            </w:r>
            <w:r/>
          </w:p>
          <w:p>
            <w:pPr>
              <w:pStyle w:val="998"/>
              <w:spacing w:line="300" w:lineRule="exact"/>
              <w:widowControl/>
              <w:rPr>
                <w:sz w:val="18"/>
                <w:szCs w:val="18"/>
              </w:rPr>
            </w:pPr>
            <w:r>
              <w:rPr>
                <w:rFonts w:hint="eastAsia"/>
                <w:sz w:val="18"/>
                <w:szCs w:val="18"/>
              </w:rPr>
              <w:t xml:space="preserve">（3）政府监管：建设在线监测模块，围绕空气质量、水质、消毒实现非现场执法；通过违法处方监管、医疗废物、精麻类药品实现医疗服务行为监管；通过接入省卫生监督平台监督处罚数据实现执法跟踪；建设预警规则实现异常就诊、接诊、重复检查预警；</w:t>
            </w:r>
            <w:r>
              <w:rPr>
                <w:sz w:val="18"/>
                <w:szCs w:val="18"/>
              </w:rPr>
            </w:r>
            <w:r/>
          </w:p>
          <w:p>
            <w:pPr>
              <w:pStyle w:val="998"/>
              <w:spacing w:line="300" w:lineRule="exact"/>
              <w:widowControl/>
              <w:rPr>
                <w:sz w:val="18"/>
                <w:szCs w:val="18"/>
              </w:rPr>
            </w:pPr>
            <w:r>
              <w:rPr>
                <w:rFonts w:hint="eastAsia"/>
                <w:sz w:val="18"/>
                <w:szCs w:val="18"/>
              </w:rPr>
              <w:t xml:space="preserve">（4）社会监督：建设信息公示模块，实现满意度、机构执业信息的监督管理；</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jc w:val="center"/>
              <w:spacing w:line="300" w:lineRule="exact"/>
              <w:widowControl/>
              <w:rPr>
                <w:sz w:val="18"/>
                <w:szCs w:val="18"/>
              </w:rPr>
            </w:pPr>
            <w:r>
              <w:rPr>
                <w:rFonts w:hint="eastAsia"/>
                <w:b/>
                <w:bCs/>
                <w:sz w:val="20"/>
                <w:szCs w:val="20"/>
                <w:lang w:bidi="ar"/>
              </w:rPr>
              <w:t xml:space="preserve">十八、职业健康体检子系统</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spacing w:line="300" w:lineRule="exact"/>
              <w:widowControl/>
              <w:rPr>
                <w:sz w:val="18"/>
                <w:szCs w:val="18"/>
              </w:rPr>
            </w:pPr>
            <w:r>
              <w:rPr>
                <w:rFonts w:hint="eastAsia"/>
                <w:sz w:val="18"/>
                <w:szCs w:val="18"/>
              </w:rPr>
              <w:t xml:space="preserve">南通市职业健康体检子系统旨在重新改造程序代码以确保其与新架构兼容，支撑国产化环境中构建全流程、智能化的职业健康监管服务体系，通过整合监管端与用人单位端两大核心模块，实现职业健康数据汇聚、风险动态监测、多方协同管理及能力建设，为职业病防控、企业健康管理提供信息化支撑。</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79</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监管端-职业健康看板</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rFonts w:ascii="宋体" w:hAnsi="宋体" w:cs="宋体"/>
                <w:sz w:val="18"/>
                <w:szCs w:val="18"/>
              </w:rPr>
            </w:pPr>
            <w:r>
              <w:rPr>
                <w:rFonts w:ascii="宋体" w:hAnsi="宋体" w:cs="宋体"/>
                <w:sz w:val="18"/>
                <w:szCs w:val="18"/>
              </w:rPr>
            </w:r>
            <w:r/>
          </w:p>
        </w:tc>
        <w:tc>
          <w:tcPr>
            <w:tcW w:w="4196" w:type="dxa"/>
            <w:vAlign w:val="center"/>
            <w:textDirection w:val="lrTb"/>
            <w:noWrap w:val="false"/>
          </w:tcPr>
          <w:p>
            <w:pPr>
              <w:pStyle w:val="998"/>
              <w:spacing w:line="300" w:lineRule="exact"/>
              <w:widowControl/>
              <w:rPr>
                <w:rFonts w:ascii="宋体" w:hAnsi="宋体" w:cs="宋体"/>
                <w:sz w:val="18"/>
                <w:szCs w:val="18"/>
              </w:rPr>
            </w:pPr>
            <w:r>
              <w:rPr>
                <w:rFonts w:hint="eastAsia" w:ascii="宋体" w:hAnsi="宋体" w:cs="宋体"/>
                <w:sz w:val="18"/>
                <w:szCs w:val="18"/>
              </w:rPr>
              <w:t xml:space="preserve">（1）职业健康看板:包含系统内用人单位、服务机构数量统计；风险处置情况；近12个月</w:t>
            </w:r>
            <w:r>
              <w:rPr>
                <w:rFonts w:hint="eastAsia"/>
                <w:sz w:val="18"/>
                <w:szCs w:val="18"/>
              </w:rPr>
              <w:t xml:space="preserve">职业病确诊</w:t>
            </w:r>
            <w:r>
              <w:rPr>
                <w:rFonts w:hint="eastAsia" w:ascii="宋体" w:hAnsi="宋体" w:cs="宋体"/>
                <w:sz w:val="18"/>
                <w:szCs w:val="18"/>
              </w:rPr>
              <w:t xml:space="preserve">情况；近</w:t>
            </w:r>
            <w:r>
              <w:rPr>
                <w:rFonts w:hint="eastAsia"/>
                <w:sz w:val="18"/>
                <w:szCs w:val="18"/>
              </w:rPr>
              <w:t xml:space="preserve">12个月</w:t>
            </w:r>
            <w:r>
              <w:rPr>
                <w:rFonts w:hint="eastAsia" w:ascii="宋体" w:hAnsi="宋体" w:cs="宋体"/>
                <w:sz w:val="18"/>
                <w:szCs w:val="18"/>
              </w:rPr>
              <w:t xml:space="preserve">员工职业健康检查情况统计。</w:t>
            </w:r>
            <w:r>
              <w:rPr>
                <w:rFonts w:ascii="宋体" w:hAnsi="宋体" w:cs="宋体"/>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80</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监管端-职业健康档案</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（1）用人单位基本信息以及职业病申报信息：数据均来源于国家职业病危害项目申报平台。</w:t>
            </w:r>
            <w:r>
              <w:rPr>
                <w:sz w:val="18"/>
                <w:szCs w:val="18"/>
              </w:rPr>
            </w:r>
            <w:r/>
          </w:p>
          <w:p>
            <w:pPr>
              <w:pStyle w:val="998"/>
              <w:spacing w:line="300" w:lineRule="exact"/>
              <w:widowControl/>
              <w:rPr>
                <w:sz w:val="18"/>
                <w:szCs w:val="18"/>
              </w:rPr>
            </w:pPr>
            <w:r>
              <w:rPr>
                <w:rFonts w:hint="eastAsia"/>
                <w:sz w:val="18"/>
                <w:szCs w:val="18"/>
              </w:rPr>
              <w:t xml:space="preserve">（2）用人单位员工体检数据以及用人单位确诊职业病人员数据：数据均来源于江苏省职业病防治信息管理平台。</w:t>
            </w:r>
            <w:r>
              <w:rPr>
                <w:sz w:val="18"/>
                <w:szCs w:val="18"/>
              </w:rPr>
            </w:r>
            <w:r/>
          </w:p>
          <w:p>
            <w:pPr>
              <w:pStyle w:val="998"/>
              <w:spacing w:line="300" w:lineRule="exact"/>
              <w:widowControl/>
              <w:rPr>
                <w:color w:val="000000"/>
                <w:sz w:val="18"/>
                <w:szCs w:val="18"/>
              </w:rPr>
            </w:pPr>
            <w:r>
              <w:rPr>
                <w:rFonts w:hint="eastAsia"/>
                <w:sz w:val="18"/>
                <w:szCs w:val="18"/>
              </w:rPr>
              <w:t xml:space="preserve">（3）用人单位数据统计：对企业危害因素分布、人员危害因素分布、企业行业类型分布、企业区域分布进行统计。</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81</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监管端-风险预警</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（1）风险预警：从体检数据、检测评价数据中发现存在职业健康相关风险的人员的企业，由卫生行政部门对风险进行排查和处置。</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82</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监管端-工作中台</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rFonts w:ascii="宋体" w:hAnsi="宋体" w:cs="宋体"/>
                <w:color w:val="000000"/>
                <w:sz w:val="18"/>
                <w:szCs w:val="18"/>
              </w:rPr>
            </w:pPr>
            <w:r>
              <w:rPr>
                <w:rFonts w:ascii="宋体" w:hAnsi="宋体" w:cs="宋体"/>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（1）用人单位信息：查询企业危害项目申报情况以及自动筛选出近12个月未进行职业健康检查的企业。</w:t>
            </w:r>
            <w:r>
              <w:rPr>
                <w:sz w:val="18"/>
                <w:szCs w:val="18"/>
              </w:rPr>
            </w:r>
            <w:r/>
          </w:p>
          <w:p>
            <w:pPr>
              <w:pStyle w:val="998"/>
              <w:spacing w:line="300" w:lineRule="exact"/>
              <w:widowControl/>
              <w:rPr>
                <w:sz w:val="18"/>
                <w:szCs w:val="18"/>
              </w:rPr>
            </w:pPr>
            <w:r>
              <w:rPr>
                <w:rFonts w:hint="eastAsia"/>
                <w:sz w:val="18"/>
                <w:szCs w:val="18"/>
              </w:rPr>
              <w:t xml:space="preserve">（2）服务机构服务统计息：对体检机构、检测评价机构各自服务的企业和人员进行数量上的统计，并列出存在职业健康风险的数量及明细。</w:t>
            </w:r>
            <w:r>
              <w:rPr>
                <w:sz w:val="18"/>
                <w:szCs w:val="18"/>
              </w:rPr>
            </w:r>
            <w:r/>
          </w:p>
          <w:p>
            <w:pPr>
              <w:pStyle w:val="998"/>
              <w:spacing w:line="300" w:lineRule="exact"/>
              <w:widowControl/>
              <w:rPr>
                <w:sz w:val="18"/>
                <w:szCs w:val="18"/>
              </w:rPr>
            </w:pPr>
            <w:r>
              <w:rPr>
                <w:rFonts w:hint="eastAsia"/>
                <w:sz w:val="18"/>
                <w:szCs w:val="18"/>
              </w:rPr>
              <w:t xml:space="preserve">（3）职业健康检查及诊断数据息：对体检和确诊职业病人的数据进行查询。</w:t>
            </w:r>
            <w:r>
              <w:rPr>
                <w:sz w:val="18"/>
                <w:szCs w:val="18"/>
              </w:rPr>
            </w:r>
            <w:r/>
          </w:p>
          <w:p>
            <w:pPr>
              <w:pStyle w:val="998"/>
              <w:spacing w:line="300" w:lineRule="exact"/>
              <w:widowControl/>
              <w:rPr>
                <w:sz w:val="18"/>
                <w:szCs w:val="18"/>
              </w:rPr>
            </w:pPr>
            <w:r>
              <w:rPr>
                <w:rFonts w:hint="eastAsia"/>
                <w:sz w:val="18"/>
                <w:szCs w:val="18"/>
              </w:rPr>
              <w:t xml:space="preserve">（4）上报信息管理息：对企业上报的突发事件、三同时以及疑似职业病进行管理。</w:t>
            </w:r>
            <w:r>
              <w:rPr>
                <w:sz w:val="18"/>
                <w:szCs w:val="18"/>
              </w:rPr>
            </w:r>
            <w:r/>
          </w:p>
          <w:p>
            <w:pPr>
              <w:pStyle w:val="998"/>
              <w:spacing w:line="300" w:lineRule="exact"/>
              <w:widowControl/>
              <w:rPr>
                <w:sz w:val="18"/>
                <w:szCs w:val="18"/>
              </w:rPr>
            </w:pPr>
            <w:r>
              <w:rPr>
                <w:rFonts w:hint="eastAsia"/>
                <w:sz w:val="18"/>
                <w:szCs w:val="18"/>
              </w:rPr>
              <w:t xml:space="preserve">（5）服务机构管理息：对职业健康检查机构、职业病诊断机构、职业病防治院以及职业卫生技术、放射卫生技术服务机构等五类职业病防治机构进行资质等内容的管理。</w:t>
            </w:r>
            <w:r>
              <w:rPr>
                <w:sz w:val="18"/>
                <w:szCs w:val="18"/>
              </w:rPr>
            </w:r>
            <w:r/>
          </w:p>
          <w:p>
            <w:pPr>
              <w:pStyle w:val="998"/>
              <w:spacing w:line="300" w:lineRule="exact"/>
              <w:widowControl/>
              <w:rPr>
                <w:rFonts w:ascii="宋体" w:hAnsi="宋体" w:cs="宋体"/>
                <w:color w:val="000000"/>
                <w:sz w:val="18"/>
                <w:szCs w:val="18"/>
              </w:rPr>
            </w:pPr>
            <w:r>
              <w:rPr>
                <w:rFonts w:hint="eastAsia"/>
                <w:sz w:val="18"/>
                <w:szCs w:val="18"/>
              </w:rPr>
              <w:t xml:space="preserve">（6）监督执法上报息：卫监所上报职业健康相关的被执法的企业及结果。</w:t>
            </w:r>
            <w:r>
              <w:rPr>
                <w:rFonts w:ascii="宋体" w:hAnsi="宋体" w:cs="宋体"/>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83</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监管端-基础数据</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rFonts w:ascii="宋体" w:hAnsi="宋体" w:cs="宋体"/>
                <w:color w:val="000000"/>
                <w:sz w:val="18"/>
                <w:szCs w:val="18"/>
              </w:rPr>
            </w:pPr>
            <w:r>
              <w:rPr>
                <w:rFonts w:ascii="宋体" w:hAnsi="宋体" w:cs="宋体"/>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（1）考试题库：职业健康相关考试的题库，可自动生成考试试卷，提供给企业端在线考试并生成考试合格证。</w:t>
            </w:r>
            <w:r>
              <w:rPr>
                <w:sz w:val="18"/>
                <w:szCs w:val="18"/>
              </w:rPr>
            </w:r>
            <w:r/>
          </w:p>
          <w:p>
            <w:pPr>
              <w:pStyle w:val="998"/>
              <w:spacing w:line="300" w:lineRule="exact"/>
              <w:widowControl/>
              <w:rPr>
                <w:sz w:val="18"/>
                <w:szCs w:val="18"/>
              </w:rPr>
            </w:pPr>
            <w:r>
              <w:rPr>
                <w:rFonts w:hint="eastAsia"/>
                <w:sz w:val="18"/>
                <w:szCs w:val="18"/>
              </w:rPr>
              <w:t xml:space="preserve">（2）学习培训：发布职业健康相关的学习培训内容，供企业下载和查看。</w:t>
            </w:r>
            <w:r>
              <w:rPr>
                <w:sz w:val="18"/>
                <w:szCs w:val="18"/>
              </w:rPr>
            </w:r>
            <w:r/>
          </w:p>
          <w:p>
            <w:pPr>
              <w:pStyle w:val="998"/>
              <w:spacing w:line="300" w:lineRule="exact"/>
              <w:widowControl/>
              <w:rPr>
                <w:sz w:val="18"/>
                <w:szCs w:val="18"/>
              </w:rPr>
            </w:pPr>
            <w:r>
              <w:rPr>
                <w:rFonts w:hint="eastAsia"/>
                <w:sz w:val="18"/>
                <w:szCs w:val="18"/>
              </w:rPr>
              <w:t xml:space="preserve">（3）通知公告：发布职业健康相关的通知公告文件或文章，供企业查看或下载。</w:t>
            </w:r>
            <w:r>
              <w:rPr>
                <w:sz w:val="18"/>
                <w:szCs w:val="18"/>
              </w:rPr>
            </w:r>
            <w:r/>
          </w:p>
          <w:p>
            <w:pPr>
              <w:pStyle w:val="998"/>
              <w:spacing w:line="300" w:lineRule="exact"/>
              <w:widowControl/>
              <w:rPr>
                <w:rFonts w:ascii="宋体" w:hAnsi="宋体" w:cs="宋体"/>
                <w:color w:val="000000"/>
                <w:sz w:val="18"/>
                <w:szCs w:val="18"/>
              </w:rPr>
            </w:pPr>
            <w:r>
              <w:rPr>
                <w:rFonts w:hint="eastAsia"/>
                <w:sz w:val="18"/>
                <w:szCs w:val="18"/>
              </w:rPr>
              <w:t xml:space="preserve">（4）新闻动态：发布职业健康相关的新闻内容，供企业查看。</w:t>
            </w:r>
            <w:r>
              <w:rPr>
                <w:rFonts w:ascii="宋体" w:hAnsi="宋体" w:cs="宋体"/>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84</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用人单位端</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rFonts w:ascii="宋体" w:hAnsi="宋体" w:cs="宋体"/>
                <w:b/>
                <w:bCs/>
                <w:color w:val="000000"/>
                <w:sz w:val="18"/>
                <w:szCs w:val="18"/>
              </w:rPr>
            </w:pPr>
            <w:r>
              <w:rPr>
                <w:rFonts w:ascii="宋体" w:hAnsi="宋体" w:cs="宋体"/>
                <w:b/>
                <w:bCs/>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（1）工作中台：查看监管端发布的职业健康相关的通知公告、培训内容和新闻；</w:t>
            </w:r>
            <w:r>
              <w:rPr>
                <w:sz w:val="18"/>
                <w:szCs w:val="18"/>
              </w:rPr>
            </w:r>
            <w:r/>
          </w:p>
          <w:p>
            <w:pPr>
              <w:pStyle w:val="998"/>
              <w:spacing w:line="300" w:lineRule="exact"/>
              <w:widowControl/>
              <w:rPr>
                <w:sz w:val="18"/>
                <w:szCs w:val="18"/>
              </w:rPr>
            </w:pPr>
            <w:r>
              <w:rPr>
                <w:rFonts w:hint="eastAsia"/>
                <w:sz w:val="18"/>
                <w:szCs w:val="18"/>
              </w:rPr>
              <w:t xml:space="preserve">（2）在线考试：通过监管端生成的考试题进行线上考试；</w:t>
            </w:r>
            <w:r>
              <w:rPr>
                <w:sz w:val="18"/>
                <w:szCs w:val="18"/>
              </w:rPr>
            </w:r>
            <w:r/>
          </w:p>
          <w:p>
            <w:pPr>
              <w:pStyle w:val="998"/>
              <w:spacing w:line="300" w:lineRule="exact"/>
              <w:widowControl/>
              <w:rPr>
                <w:sz w:val="18"/>
                <w:szCs w:val="18"/>
              </w:rPr>
            </w:pPr>
            <w:r>
              <w:rPr>
                <w:rFonts w:hint="eastAsia"/>
                <w:sz w:val="18"/>
                <w:szCs w:val="18"/>
              </w:rPr>
              <w:t xml:space="preserve">（3）职业健康服务机构查询：查询本市全部健康服务机构信息，包括联系方式等；</w:t>
            </w:r>
            <w:r>
              <w:rPr>
                <w:sz w:val="18"/>
                <w:szCs w:val="18"/>
              </w:rPr>
            </w:r>
            <w:r/>
          </w:p>
          <w:p>
            <w:pPr>
              <w:pStyle w:val="998"/>
              <w:spacing w:line="300" w:lineRule="exact"/>
              <w:widowControl/>
              <w:rPr>
                <w:sz w:val="18"/>
                <w:szCs w:val="18"/>
              </w:rPr>
            </w:pPr>
            <w:r>
              <w:rPr>
                <w:rFonts w:hint="eastAsia"/>
                <w:sz w:val="18"/>
                <w:szCs w:val="18"/>
              </w:rPr>
              <w:t xml:space="preserve">（4）突发事件上报：用人单位上报职业卫生突发事件；</w:t>
            </w:r>
            <w:r>
              <w:rPr>
                <w:sz w:val="18"/>
                <w:szCs w:val="18"/>
              </w:rPr>
            </w:r>
            <w:r/>
          </w:p>
          <w:p>
            <w:pPr>
              <w:pStyle w:val="998"/>
              <w:spacing w:line="300" w:lineRule="exact"/>
              <w:widowControl/>
              <w:rPr>
                <w:sz w:val="18"/>
                <w:szCs w:val="18"/>
              </w:rPr>
            </w:pPr>
            <w:r>
              <w:rPr>
                <w:rFonts w:hint="eastAsia"/>
                <w:sz w:val="18"/>
                <w:szCs w:val="18"/>
              </w:rPr>
              <w:t xml:space="preserve">（5）疑似职业病上报：用人单位上报疑似职业病病人信息；</w:t>
            </w:r>
            <w:r>
              <w:rPr>
                <w:sz w:val="18"/>
                <w:szCs w:val="18"/>
              </w:rPr>
            </w:r>
            <w:r/>
          </w:p>
          <w:p>
            <w:pPr>
              <w:pStyle w:val="998"/>
              <w:spacing w:line="300" w:lineRule="exact"/>
              <w:widowControl/>
              <w:rPr>
                <w:sz w:val="18"/>
                <w:szCs w:val="18"/>
              </w:rPr>
            </w:pPr>
            <w:r>
              <w:rPr>
                <w:rFonts w:hint="eastAsia"/>
                <w:sz w:val="18"/>
                <w:szCs w:val="18"/>
              </w:rPr>
              <w:t xml:space="preserve">（6）“三同时”上报：用人单位上报“三同时”信息；</w:t>
            </w:r>
            <w:r>
              <w:rPr>
                <w:sz w:val="18"/>
                <w:szCs w:val="18"/>
              </w:rPr>
            </w:r>
            <w:r/>
          </w:p>
          <w:p>
            <w:pPr>
              <w:pStyle w:val="998"/>
              <w:spacing w:line="300" w:lineRule="exact"/>
              <w:widowControl/>
              <w:rPr>
                <w:sz w:val="18"/>
                <w:szCs w:val="18"/>
              </w:rPr>
            </w:pPr>
            <w:r>
              <w:rPr>
                <w:rFonts w:hint="eastAsia"/>
                <w:sz w:val="18"/>
                <w:szCs w:val="18"/>
              </w:rPr>
              <w:t xml:space="preserve">（7）体检异常处置：用人单位上报体检异常员工的处置情况；</w:t>
            </w:r>
            <w:r>
              <w:rPr>
                <w:sz w:val="18"/>
                <w:szCs w:val="18"/>
              </w:rPr>
            </w:r>
            <w:r/>
          </w:p>
          <w:p>
            <w:pPr>
              <w:pStyle w:val="998"/>
              <w:spacing w:line="300" w:lineRule="exact"/>
              <w:widowControl/>
              <w:rPr>
                <w:rFonts w:ascii="宋体" w:hAnsi="宋体" w:cs="宋体"/>
                <w:sz w:val="18"/>
                <w:szCs w:val="18"/>
              </w:rPr>
            </w:pPr>
            <w:r>
              <w:rPr>
                <w:rFonts w:hint="eastAsia"/>
                <w:sz w:val="18"/>
                <w:szCs w:val="18"/>
              </w:rPr>
              <w:t xml:space="preserve">（8）体检数据查询：用人单位内的员工体检数据查询；</w:t>
            </w:r>
            <w:r>
              <w:rPr>
                <w:rFonts w:ascii="宋体" w:hAnsi="宋体" w:cs="宋体"/>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jc w:val="center"/>
              <w:spacing w:line="300" w:lineRule="exact"/>
              <w:rPr>
                <w:b/>
                <w:bCs/>
                <w:color w:val="000000"/>
                <w:sz w:val="18"/>
                <w:szCs w:val="18"/>
              </w:rPr>
            </w:pPr>
            <w:r>
              <w:rPr>
                <w:rFonts w:hint="eastAsia"/>
                <w:b/>
                <w:bCs/>
                <w:sz w:val="20"/>
                <w:szCs w:val="20"/>
                <w:lang w:bidi="ar"/>
              </w:rPr>
              <w:t xml:space="preserve">十九、药品采购目录审核与使用监管子系统</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spacing w:line="300" w:lineRule="exact"/>
              <w:widowControl/>
              <w:rPr>
                <w:b/>
                <w:bCs/>
                <w:color w:val="000000"/>
                <w:sz w:val="18"/>
                <w:szCs w:val="18"/>
              </w:rPr>
            </w:pPr>
            <w:r>
              <w:rPr>
                <w:rFonts w:hint="eastAsia"/>
                <w:sz w:val="18"/>
                <w:szCs w:val="18"/>
              </w:rPr>
              <w:t xml:space="preserve">南通市药品采购目录审核与使用监管子系统旨在重新改造程序代码以确保其与新架构兼容，支撑国产化环境中构建全流程、智能化的药品目录监管体系，为药品使用合规管理提供信息化支撑。</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85</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基础数据维护功能</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（1）医疗机构信息维护：对医疗机构等相关信息进行增删改查等操作；</w:t>
            </w:r>
            <w:r>
              <w:rPr>
                <w:sz w:val="18"/>
                <w:szCs w:val="18"/>
              </w:rPr>
            </w:r>
            <w:r/>
          </w:p>
          <w:p>
            <w:pPr>
              <w:pStyle w:val="998"/>
              <w:spacing w:line="300" w:lineRule="exact"/>
              <w:widowControl/>
              <w:rPr>
                <w:sz w:val="18"/>
                <w:szCs w:val="18"/>
              </w:rPr>
            </w:pPr>
            <w:r>
              <w:rPr>
                <w:rFonts w:hint="eastAsia"/>
                <w:sz w:val="18"/>
                <w:szCs w:val="18"/>
              </w:rPr>
              <w:t xml:space="preserve">（2）药品使用目录信息维护：市药品使用目录信息进行增删改查等操作；</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3</w:t>
            </w:r>
            <w:r>
              <w:rPr>
                <w:rFonts w:hint="eastAsia"/>
                <w:sz w:val="18"/>
                <w:szCs w:val="18"/>
              </w:rPr>
              <w:t xml:space="preserve">）医疗机构用户设置：绑定医疗机构和用户之间的关系，自动识别登录的用户是否为医疗机构；</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4</w:t>
            </w:r>
            <w:r>
              <w:rPr>
                <w:rFonts w:hint="eastAsia"/>
                <w:sz w:val="18"/>
                <w:szCs w:val="18"/>
              </w:rPr>
              <w:t xml:space="preserve">）药品使用类别上传维护：对药品使用类别进行增删改查等操作；</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5</w:t>
            </w:r>
            <w:r>
              <w:rPr>
                <w:rFonts w:hint="eastAsia"/>
                <w:sz w:val="18"/>
                <w:szCs w:val="18"/>
              </w:rPr>
              <w:t xml:space="preserve">）监管规则维护：定义审核规则，对规则进行增删改查等操作；</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6</w:t>
            </w:r>
            <w:r>
              <w:rPr>
                <w:rFonts w:hint="eastAsia"/>
                <w:sz w:val="18"/>
                <w:szCs w:val="18"/>
              </w:rPr>
              <w:t xml:space="preserve">）规则适用配置：规则将适用于哪个级别哪个医疗机构可进行设置；</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7</w:t>
            </w:r>
            <w:r>
              <w:rPr>
                <w:rFonts w:hint="eastAsia"/>
                <w:sz w:val="18"/>
                <w:szCs w:val="18"/>
              </w:rPr>
              <w:t xml:space="preserve">）维护人员设置：分配维护账号给维护人员；</w:t>
            </w:r>
            <w:r>
              <w:rPr>
                <w:sz w:val="18"/>
                <w:szCs w:val="18"/>
              </w:rPr>
            </w:r>
            <w:r/>
          </w:p>
          <w:p>
            <w:pPr>
              <w:pStyle w:val="998"/>
              <w:spacing w:line="300" w:lineRule="exact"/>
              <w:widowControl/>
              <w:rPr>
                <w:sz w:val="18"/>
                <w:szCs w:val="18"/>
              </w:rPr>
            </w:pPr>
            <w:r>
              <w:rPr>
                <w:rFonts w:hint="eastAsia"/>
                <w:sz w:val="18"/>
                <w:szCs w:val="18"/>
              </w:rPr>
              <w:t xml:space="preserve">（</w:t>
            </w:r>
            <w:r>
              <w:rPr>
                <w:sz w:val="18"/>
                <w:szCs w:val="18"/>
              </w:rPr>
              <w:t xml:space="preserve">8</w:t>
            </w:r>
            <w:r>
              <w:rPr>
                <w:rFonts w:hint="eastAsia"/>
                <w:sz w:val="18"/>
                <w:szCs w:val="18"/>
              </w:rPr>
              <w:t xml:space="preserve">）规则外药品：设置一些规则外的药品，避免被规则过滤导致不在目录中；</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86</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药品使用数据抽取</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（1）采用接口</w:t>
            </w:r>
            <w:r>
              <w:rPr>
                <w:rFonts w:hint="eastAsia"/>
                <w:sz w:val="18"/>
                <w:szCs w:val="18"/>
              </w:rPr>
              <w:t xml:space="preserve">自动</w:t>
            </w:r>
            <w:r>
              <w:rPr>
                <w:rFonts w:hint="eastAsia"/>
                <w:color w:val="000000"/>
                <w:sz w:val="18"/>
                <w:szCs w:val="18"/>
              </w:rPr>
              <w:t xml:space="preserve">调用方式定期自动抓取各家医疗机构药品使用数据。</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87</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查询统计及分析预警功能</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（1）月度查询统计：默认进入首页查询当月的药品使用数据；</w:t>
            </w:r>
            <w:r>
              <w:rPr>
                <w:sz w:val="18"/>
                <w:szCs w:val="18"/>
              </w:rPr>
            </w:r>
            <w:r/>
          </w:p>
          <w:p>
            <w:pPr>
              <w:pStyle w:val="998"/>
              <w:spacing w:line="300" w:lineRule="exact"/>
              <w:widowControl/>
              <w:rPr>
                <w:sz w:val="18"/>
                <w:szCs w:val="18"/>
              </w:rPr>
            </w:pPr>
            <w:r>
              <w:rPr>
                <w:rFonts w:hint="eastAsia"/>
                <w:sz w:val="18"/>
                <w:szCs w:val="18"/>
              </w:rPr>
              <w:t xml:space="preserve">（2）药品使用数据查询：全部的药品使用数据查询；</w:t>
            </w:r>
            <w:r>
              <w:rPr>
                <w:sz w:val="18"/>
                <w:szCs w:val="18"/>
              </w:rPr>
            </w:r>
            <w:r/>
          </w:p>
          <w:p>
            <w:pPr>
              <w:pStyle w:val="998"/>
              <w:spacing w:line="300" w:lineRule="exact"/>
              <w:widowControl/>
              <w:rPr>
                <w:sz w:val="18"/>
                <w:szCs w:val="18"/>
              </w:rPr>
            </w:pPr>
            <w:r>
              <w:rPr>
                <w:rFonts w:hint="eastAsia"/>
                <w:sz w:val="18"/>
                <w:szCs w:val="18"/>
              </w:rPr>
              <w:t xml:space="preserve">（3）药品使用数据月报统计：药品使用数据月报；</w:t>
            </w:r>
            <w:r>
              <w:rPr>
                <w:sz w:val="18"/>
                <w:szCs w:val="18"/>
              </w:rPr>
            </w:r>
            <w:r/>
          </w:p>
          <w:p>
            <w:pPr>
              <w:pStyle w:val="998"/>
              <w:spacing w:line="300" w:lineRule="exact"/>
              <w:widowControl/>
              <w:rPr>
                <w:sz w:val="18"/>
                <w:szCs w:val="18"/>
              </w:rPr>
            </w:pPr>
            <w:r>
              <w:rPr>
                <w:rFonts w:hint="eastAsia"/>
                <w:sz w:val="18"/>
                <w:szCs w:val="18"/>
              </w:rPr>
              <w:t xml:space="preserve">（4）单药品使用查询：针对某种药品使用情况的查询；</w:t>
            </w:r>
            <w:r>
              <w:rPr>
                <w:sz w:val="18"/>
                <w:szCs w:val="18"/>
              </w:rPr>
            </w:r>
            <w:r/>
          </w:p>
          <w:p>
            <w:pPr>
              <w:pStyle w:val="998"/>
              <w:spacing w:line="300" w:lineRule="exact"/>
              <w:widowControl/>
              <w:rPr>
                <w:color w:val="000000"/>
                <w:sz w:val="18"/>
                <w:szCs w:val="18"/>
              </w:rPr>
            </w:pPr>
            <w:r>
              <w:rPr>
                <w:rFonts w:hint="eastAsia"/>
                <w:sz w:val="18"/>
                <w:szCs w:val="18"/>
              </w:rPr>
              <w:t xml:space="preserve">（5）药品使用异常预警：根据异常规则，筛选出药品使用异常的数据，并进行风险预警；</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二十、远程会诊管理子系统</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rPr>
              <w:t xml:space="preserve">南通市远程会诊管理子系统适配改造，旨在重新改造程序代码以确保其与新架构兼容，支撑国产化环境中构建一个区域医疗机构远程会诊相关应用，实现南通全市健康数据的汇聚共享，建设市级远程医疗服务平台，以信息化促进医疗卫生事业现代化发展。</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88</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视频设备接入</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实现与视频硬件设备（MCU）的集成对接。将来自各会议场点的信息流，经过同步分离后，抽取出音频、视频、数据等信息和信令，将各会议场点的信息和信令，送入同一种处理模块，完成相应的音频混合或切换，视频混合或切换，数据广播和路由选择，定时和会议控制等过程，最后将各会议场点所需的各种信息重新组合起来，送往各相应的终端系统设备。</w:t>
            </w:r>
            <w:r>
              <w:rPr>
                <w:sz w:val="18"/>
                <w:szCs w:val="18"/>
              </w:rPr>
            </w:r>
            <w:r/>
          </w:p>
          <w:p>
            <w:pPr>
              <w:pStyle w:val="998"/>
              <w:spacing w:line="300" w:lineRule="exact"/>
              <w:widowControl/>
              <w:rPr>
                <w:sz w:val="18"/>
                <w:szCs w:val="18"/>
              </w:rPr>
            </w:pPr>
            <w:r>
              <w:rPr>
                <w:rFonts w:hint="eastAsia"/>
                <w:sz w:val="18"/>
                <w:szCs w:val="18"/>
              </w:rPr>
              <w:t xml:space="preserve">（2）实现多点间的视频会议，相当于视频会议系统的 “交换机”， 用于处理图像、数据、声音。实现图像的格式质量、显示方式，混合音频处理声音，传输和控制数据。</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89</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远程会诊首页</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（1）平台首页：页面左侧将以树状结构展示各功能分类和细节功能。</w:t>
            </w:r>
            <w:r>
              <w:rPr>
                <w:sz w:val="18"/>
                <w:szCs w:val="18"/>
              </w:rPr>
            </w:r>
            <w:r/>
          </w:p>
          <w:p>
            <w:pPr>
              <w:pStyle w:val="998"/>
              <w:spacing w:line="300" w:lineRule="exact"/>
              <w:widowControl/>
              <w:rPr>
                <w:sz w:val="18"/>
                <w:szCs w:val="18"/>
              </w:rPr>
            </w:pPr>
            <w:r>
              <w:rPr>
                <w:rFonts w:hint="eastAsia"/>
                <w:sz w:val="18"/>
                <w:szCs w:val="18"/>
              </w:rPr>
              <w:t xml:space="preserve">（2）消息提醒：首界面展示会诊当前账号的消息提醒及各类通知消息；</w:t>
            </w:r>
            <w:r>
              <w:rPr>
                <w:sz w:val="18"/>
                <w:szCs w:val="18"/>
              </w:rPr>
            </w:r>
            <w:r/>
          </w:p>
          <w:p>
            <w:pPr>
              <w:pStyle w:val="998"/>
              <w:spacing w:line="300" w:lineRule="exact"/>
              <w:widowControl/>
              <w:rPr>
                <w:sz w:val="18"/>
                <w:szCs w:val="18"/>
              </w:rPr>
            </w:pPr>
            <w:r>
              <w:rPr>
                <w:rFonts w:hint="eastAsia"/>
                <w:sz w:val="18"/>
                <w:szCs w:val="18"/>
              </w:rPr>
              <w:t xml:space="preserve">（3）待审核会诊信息提醒：系统支持待审核会诊信息实时提醒，消息分类下以时间倒序形式罗列；</w:t>
            </w:r>
            <w:r>
              <w:rPr>
                <w:sz w:val="18"/>
                <w:szCs w:val="18"/>
              </w:rPr>
            </w:r>
            <w:r/>
          </w:p>
          <w:p>
            <w:pPr>
              <w:pStyle w:val="998"/>
              <w:spacing w:line="300" w:lineRule="exact"/>
              <w:widowControl/>
              <w:rPr>
                <w:sz w:val="18"/>
                <w:szCs w:val="18"/>
              </w:rPr>
            </w:pPr>
            <w:r>
              <w:rPr>
                <w:rFonts w:hint="eastAsia"/>
                <w:sz w:val="18"/>
                <w:szCs w:val="18"/>
              </w:rPr>
              <w:t xml:space="preserve">（4）已排班会诊信息提醒：系统支持待审核会诊信息实时提醒，消息分类下以时间倒序形式罗列各信息主要信息和发起医生、时间，方便医生能快速处理。</w:t>
            </w:r>
            <w:r>
              <w:rPr>
                <w:sz w:val="18"/>
                <w:szCs w:val="18"/>
              </w:rPr>
            </w:r>
            <w:r/>
          </w:p>
          <w:p>
            <w:pPr>
              <w:pStyle w:val="998"/>
              <w:spacing w:line="300" w:lineRule="exact"/>
              <w:widowControl/>
              <w:rPr>
                <w:sz w:val="18"/>
                <w:szCs w:val="18"/>
              </w:rPr>
            </w:pPr>
            <w:r>
              <w:rPr>
                <w:rFonts w:hint="eastAsia"/>
                <w:sz w:val="18"/>
                <w:szCs w:val="18"/>
              </w:rPr>
              <w:t xml:space="preserve">（5）医院信息概览：统一展示医院远程问诊的数据统计，显示各医生的问诊次数，可查看全部统计信息。</w:t>
            </w:r>
            <w:r>
              <w:rPr>
                <w:sz w:val="18"/>
                <w:szCs w:val="18"/>
              </w:rPr>
            </w:r>
            <w:r/>
          </w:p>
          <w:p>
            <w:pPr>
              <w:pStyle w:val="998"/>
              <w:spacing w:line="300" w:lineRule="exact"/>
              <w:widowControl/>
              <w:rPr>
                <w:sz w:val="18"/>
                <w:szCs w:val="18"/>
              </w:rPr>
            </w:pPr>
            <w:r>
              <w:rPr>
                <w:rFonts w:hint="eastAsia"/>
                <w:sz w:val="18"/>
                <w:szCs w:val="18"/>
              </w:rPr>
              <w:t xml:space="preserve">（6）个人问诊情况概览：以图表化展示当年的远程问诊的完成情况，数据动态实时展示。</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90</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患者创建</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患者基本信息管理，能够通过列表查看所有的患者信息，医生能够对新患者维护相关信息。如：姓名、性别、民族、出生日期、身份证号码、婚育状态、身高、体重、联系方式、住址、就诊卡类型、就诊卡号等。</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t xml:space="preserve">91</w:t>
            </w:r>
            <w:r>
              <w:rPr>
                <w:b/>
                <w:bCs/>
                <w:sz w:val="18"/>
                <w:szCs w:val="18"/>
              </w:rPr>
            </w:r>
            <w:r/>
          </w:p>
        </w:tc>
        <w:tc>
          <w:tcPr>
            <w:tcW w:w="4196" w:type="dxa"/>
            <w:vAlign w:val="center"/>
            <w:textDirection w:val="lrTb"/>
            <w:noWrap w:val="false"/>
          </w:tcPr>
          <w:p>
            <w:pPr>
              <w:pStyle w:val="998"/>
              <w:spacing w:line="300" w:lineRule="exact"/>
              <w:rPr>
                <w:b/>
                <w:bCs/>
                <w:sz w:val="18"/>
                <w:szCs w:val="18"/>
              </w:rPr>
            </w:pPr>
            <w:r>
              <w:rPr>
                <w:rFonts w:hint="eastAsia"/>
                <w:b/>
                <w:bCs/>
                <w:sz w:val="18"/>
                <w:szCs w:val="18"/>
              </w:rPr>
              <w:t xml:space="preserve">病历查看</w:t>
            </w:r>
            <w:r>
              <w:rPr>
                <w:b/>
                <w:bCs/>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选择某一患者，查看病历详情可详细浏览患者的完整病历信息。如：临床诊断、主诉、现病史、既往史、家族史等病历信息，还可查看已预约患者的会诊方式、会诊医院、会诊科室、期望预约时间等，相关负责医生也可看到。检查报告查看患者的检查报告进行上传后，医生可在线查阅到已上传的各个报告内容。报告可细分多种类型，如：血液报告、影像报告、超声报告等。上传按钮就可导入本地电子版报告文件。</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92</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会诊申请</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对于需要进行会诊的患者，医生可根据需要发起会诊申请。在会诊申请界面，医生新增，在详细信息界面填入所要求的各项信息内容，预约会诊时间、会诊人员选择，完成后即可进入待会诊状态。</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93</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会诊排班预约</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根据医生的会诊情况，可对会诊进行排班预约，查阅当前的会诊班，医生可根据实际情况选择所要会诊的医院、科室以及期望的预约时间。</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94</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会诊审核</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在会诊预约完成后，管理人员可对所发起的会诊申请进行查阅详情，根据会诊的内容和预约的情况审核该会诊申请。</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95</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病历书写</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平台支持医生在线输入患者的病历信息，如：临床诊断、主诉、现病史、既往史、家族史等病历信息。</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rFonts w:hint="eastAsia"/>
                <w:b/>
                <w:bCs/>
                <w:sz w:val="18"/>
                <w:szCs w:val="18"/>
              </w:rPr>
              <w:t xml:space="preserve">9</w:t>
            </w:r>
            <w:r>
              <w:rPr>
                <w:b/>
                <w:bCs/>
                <w:sz w:val="18"/>
                <w:szCs w:val="18"/>
              </w:rPr>
              <w:t xml:space="preserve">6</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远程视频</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在进行会诊时，平台MCU服务即可开启，医生可选择打开视频功能，与当前会诊的所有医生同时进行视频沟通。远程视频功能保证了在线视频对话的音视频的同步性和实效性。</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97</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账号及后台管理</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jc w:val="center"/>
              <w:spacing w:line="300" w:lineRule="exact"/>
              <w:rPr>
                <w:sz w:val="18"/>
                <w:szCs w:val="18"/>
              </w:rPr>
            </w:pPr>
            <w:r>
              <w:rPr>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平台设有账号管理，管理人员可添加修改删除医生账号和密码。根据医院、科室对各账号进行归类，对于不同权限的医生可进行角色分配，不同的角色可赋予不同的操作功能权限。</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bookmarkEnd w:id="196"/>
            <w:r>
              <w:rPr>
                <w:rFonts w:hint="eastAsia"/>
                <w:b/>
                <w:bCs/>
                <w:sz w:val="20"/>
                <w:szCs w:val="20"/>
                <w:lang w:bidi="ar"/>
              </w:rPr>
              <w:t xml:space="preserve">二十一、生育登记信息子系统</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b/>
                <w:bCs/>
                <w:sz w:val="18"/>
                <w:szCs w:val="18"/>
                <w:lang w:bidi="ar"/>
              </w:rPr>
            </w:pPr>
            <w:r>
              <w:rPr>
                <w:rFonts w:hint="eastAsia"/>
                <w:sz w:val="18"/>
                <w:szCs w:val="18"/>
              </w:rPr>
              <w:t xml:space="preserve">南通市生育登记信息子系统适配改造旨在重新改造程序代码以确保其与新架构兼容，支撑国产化环境中构建一个全面、集成、高效的生育服务登记管理平台，通过优化生育登记办理、生育登记统计分析、生育登记信息上报升级、生育登记接口调用、生育登记网上预约等功能模块，实现生育登记相关数据的实时办理、网上登记受理、整合、分析与展示，为办理生育登记市民提供更便利的服务。</w:t>
            </w:r>
            <w:r>
              <w:rPr>
                <w:b/>
                <w:bCs/>
                <w:sz w:val="18"/>
                <w:szCs w:val="18"/>
                <w:lang w:bidi="ar"/>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98</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生育登记服务系统</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（1）生育登记管理： 构建生育登记办理流程包括生育登记信息办理、作废、查询；对非管理地办的生育登记服务单提供查询；对办理完成的生育登记证按照规定的格式打印；根据各种组合条件查询生育登记信息；</w:t>
            </w:r>
            <w:r>
              <w:rPr>
                <w:sz w:val="18"/>
                <w:szCs w:val="18"/>
              </w:rPr>
            </w:r>
            <w:r/>
          </w:p>
          <w:p>
            <w:pPr>
              <w:pStyle w:val="998"/>
              <w:spacing w:line="300" w:lineRule="exact"/>
              <w:widowControl/>
              <w:rPr>
                <w:sz w:val="18"/>
                <w:szCs w:val="18"/>
              </w:rPr>
            </w:pPr>
            <w:r>
              <w:rPr>
                <w:rFonts w:hint="eastAsia"/>
                <w:sz w:val="18"/>
                <w:szCs w:val="18"/>
              </w:rPr>
              <w:t xml:space="preserve">（2）生育登记统计分析：可以按各类条件汇总数据，分析全省各地生育登记情况；按地区、年份汇总分析生育登记服务的人员基础信息，各分析项目可组合后再进行合并分析；按地区、年份汇总分析生育登记信息；</w:t>
            </w:r>
            <w:r>
              <w:rPr>
                <w:sz w:val="18"/>
                <w:szCs w:val="18"/>
              </w:rPr>
            </w:r>
            <w:r/>
          </w:p>
          <w:p>
            <w:pPr>
              <w:pStyle w:val="998"/>
              <w:spacing w:line="300" w:lineRule="exact"/>
              <w:widowControl/>
              <w:rPr>
                <w:sz w:val="18"/>
                <w:szCs w:val="18"/>
              </w:rPr>
            </w:pPr>
            <w:r>
              <w:rPr>
                <w:rFonts w:hint="eastAsia"/>
                <w:sz w:val="18"/>
                <w:szCs w:val="18"/>
              </w:rPr>
              <w:t xml:space="preserve">（3）生育登记网上预约：从互联网申请的生育登记信息，数据通过后台交换至生育登记系统中进行审核受理；</w:t>
            </w:r>
            <w:r>
              <w:rPr>
                <w:sz w:val="18"/>
                <w:szCs w:val="18"/>
              </w:rPr>
            </w:r>
            <w:r/>
          </w:p>
          <w:p>
            <w:pPr>
              <w:pStyle w:val="998"/>
              <w:spacing w:line="300" w:lineRule="exact"/>
              <w:widowControl/>
              <w:rPr>
                <w:sz w:val="18"/>
                <w:szCs w:val="18"/>
              </w:rPr>
            </w:pPr>
            <w:r>
              <w:rPr>
                <w:rFonts w:hint="eastAsia"/>
                <w:sz w:val="18"/>
                <w:szCs w:val="18"/>
              </w:rPr>
              <w:t xml:space="preserve">（4）省综合平台信息对接：对接省综合平台，实现人员基本信息；</w:t>
            </w:r>
            <w:r>
              <w:rPr>
                <w:sz w:val="18"/>
                <w:szCs w:val="18"/>
              </w:rPr>
            </w:r>
            <w:r/>
          </w:p>
          <w:p>
            <w:pPr>
              <w:pStyle w:val="998"/>
              <w:spacing w:line="300" w:lineRule="exact"/>
              <w:widowControl/>
              <w:rPr>
                <w:sz w:val="18"/>
                <w:szCs w:val="18"/>
              </w:rPr>
            </w:pPr>
            <w:r>
              <w:rPr>
                <w:rFonts w:hint="eastAsia"/>
                <w:sz w:val="18"/>
                <w:szCs w:val="18"/>
              </w:rPr>
              <w:t xml:space="preserve">（5）生育登记接口</w:t>
            </w:r>
            <w:r>
              <w:rPr>
                <w:sz w:val="18"/>
                <w:szCs w:val="18"/>
              </w:rPr>
              <w:t xml:space="preserve">对接</w:t>
            </w:r>
            <w:r>
              <w:rPr>
                <w:rFonts w:hint="eastAsia"/>
                <w:sz w:val="18"/>
                <w:szCs w:val="18"/>
              </w:rPr>
              <w:t xml:space="preserve">：对接省级生育登记系统，实现网上预约申请信息下载、受理结果反馈上传；实现线下办理时调取申请人在省内申请记录；实现本市办理生育登记证上传省系统；</w:t>
            </w:r>
            <w:r>
              <w:rPr>
                <w:sz w:val="18"/>
                <w:szCs w:val="18"/>
              </w:rPr>
            </w:r>
            <w:r/>
          </w:p>
          <w:p>
            <w:pPr>
              <w:pStyle w:val="998"/>
              <w:spacing w:line="300" w:lineRule="exact"/>
              <w:widowControl/>
              <w:rPr>
                <w:sz w:val="18"/>
                <w:szCs w:val="18"/>
              </w:rPr>
            </w:pPr>
            <w:r>
              <w:rPr>
                <w:rFonts w:hint="eastAsia"/>
                <w:sz w:val="18"/>
                <w:szCs w:val="18"/>
              </w:rPr>
              <w:t xml:space="preserve">（6）</w:t>
            </w:r>
            <w:r>
              <w:rPr>
                <w:sz w:val="18"/>
                <w:szCs w:val="18"/>
              </w:rPr>
              <w:t xml:space="preserve">开发</w:t>
            </w:r>
            <w:r>
              <w:rPr>
                <w:rFonts w:hint="eastAsia"/>
                <w:sz w:val="18"/>
                <w:szCs w:val="18"/>
              </w:rPr>
              <w:t xml:space="preserve">生育登记上传服务</w:t>
            </w:r>
            <w:r>
              <w:rPr>
                <w:sz w:val="18"/>
                <w:szCs w:val="18"/>
              </w:rPr>
              <w:t xml:space="preserve">功能</w:t>
            </w:r>
            <w:r>
              <w:rPr>
                <w:rFonts w:hint="eastAsia"/>
                <w:sz w:val="18"/>
                <w:szCs w:val="18"/>
              </w:rPr>
              <w:t xml:space="preserve">：各区县服务器办理的生育登记信息，</w:t>
            </w:r>
            <w:r>
              <w:rPr>
                <w:sz w:val="18"/>
                <w:szCs w:val="18"/>
              </w:rPr>
              <w:t xml:space="preserve">开发服务</w:t>
            </w:r>
            <w:r>
              <w:rPr>
                <w:rFonts w:hint="eastAsia"/>
                <w:sz w:val="18"/>
                <w:szCs w:val="18"/>
              </w:rPr>
              <w:t xml:space="preserve">上传</w:t>
            </w:r>
            <w:r>
              <w:rPr>
                <w:sz w:val="18"/>
                <w:szCs w:val="18"/>
              </w:rPr>
              <w:t xml:space="preserve">功能</w:t>
            </w:r>
            <w:r>
              <w:rPr>
                <w:rFonts w:hint="eastAsia"/>
                <w:sz w:val="18"/>
                <w:szCs w:val="18"/>
              </w:rPr>
              <w:t xml:space="preserve">；</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99</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一次性奖励金系统</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（1）持证职工一次性奖励：建立持独生子女证退休职工一次性奖励金发放审批流程系统，功能包括：退休一件事受理、一次性奖励金申请、一次性奖励金审核、一次性奖励金审批、</w:t>
            </w:r>
            <w:r>
              <w:rPr>
                <w:rFonts w:hint="eastAsia"/>
                <w:b/>
                <w:bCs/>
                <w:sz w:val="18"/>
                <w:szCs w:val="18"/>
                <w:lang w:bidi="ar"/>
              </w:rPr>
              <w:t xml:space="preserve">一</w:t>
            </w:r>
            <w:r>
              <w:rPr>
                <w:rFonts w:hint="eastAsia"/>
                <w:sz w:val="18"/>
                <w:szCs w:val="18"/>
                <w:lang w:bidi="ar"/>
              </w:rPr>
              <w:t xml:space="preserve">次性奖</w:t>
            </w:r>
            <w:r>
              <w:rPr>
                <w:rFonts w:hint="eastAsia"/>
                <w:sz w:val="18"/>
                <w:szCs w:val="18"/>
              </w:rPr>
              <w:t xml:space="preserve">励金公示、生成发放名单、一次性奖励金发放、一次性奖励金查询、一次性奖励金撤销、全市查询、审批未完成记录、企业管理、一次性奖励金配置、历史查询、奖励金汇总；</w:t>
            </w:r>
            <w:r>
              <w:rPr>
                <w:sz w:val="18"/>
                <w:szCs w:val="18"/>
              </w:rPr>
            </w:r>
            <w:r/>
          </w:p>
          <w:p>
            <w:pPr>
              <w:pStyle w:val="998"/>
              <w:spacing w:line="300" w:lineRule="exact"/>
              <w:widowControl/>
              <w:rPr>
                <w:sz w:val="18"/>
                <w:szCs w:val="18"/>
              </w:rPr>
            </w:pPr>
            <w:r>
              <w:rPr>
                <w:rFonts w:hint="eastAsia"/>
                <w:sz w:val="18"/>
                <w:szCs w:val="18"/>
              </w:rPr>
              <w:t xml:space="preserve">（2）持证职工一次性奖励(无业)：建立持独生子女证退休无业人员一次性奖励金发放审批流程系统，功能包括：一次性奖励金申请、一次性奖励金审核、一次性奖励金审批、一次性奖励金公示、生成发放名单、一次性奖励金发放、一次性奖励金查询、一次性奖励金撤销、全市查询、审批未完成记录、企业管理、一次性奖励金配置、历史查询、奖励金汇总</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100</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南通市人口和计划生育综合信息平台</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（1）再生育审批</w:t>
            </w:r>
            <w:r>
              <w:rPr>
                <w:rFonts w:hint="eastAsia" w:ascii="仿宋" w:eastAsia="仿宋" w:cs="仿宋"/>
              </w:rPr>
              <w:t xml:space="preserve">：</w:t>
            </w:r>
            <w:r>
              <w:rPr>
                <w:rFonts w:hint="eastAsia"/>
                <w:sz w:val="18"/>
                <w:szCs w:val="18"/>
              </w:rPr>
              <w:t xml:space="preserve">建立再生育审批相关数据的实时办理、网上申请受理、审核、审批等一系列审批流程系统，主要功能包含：再生育受理（网上办理审核）、再生育申请、再生育审核、再生育审批、再生育审批归档、再生育实时监督、再生育查询、再生育单位</w:t>
            </w:r>
            <w:r>
              <w:rPr>
                <w:rFonts w:hint="eastAsia"/>
                <w:sz w:val="18"/>
                <w:szCs w:val="18"/>
                <w:lang w:bidi="ar"/>
              </w:rPr>
              <w:t xml:space="preserve">信息</w:t>
            </w:r>
            <w:r>
              <w:rPr>
                <w:rFonts w:hint="eastAsia"/>
                <w:sz w:val="18"/>
                <w:szCs w:val="18"/>
              </w:rPr>
              <w:t xml:space="preserve">维护、再生育统计分析</w:t>
            </w:r>
            <w:r>
              <w:rPr>
                <w:sz w:val="18"/>
                <w:szCs w:val="18"/>
              </w:rPr>
            </w:r>
            <w:r/>
          </w:p>
          <w:p>
            <w:pPr>
              <w:pStyle w:val="998"/>
              <w:spacing w:line="300" w:lineRule="exact"/>
              <w:widowControl/>
              <w:rPr>
                <w:sz w:val="18"/>
                <w:szCs w:val="18"/>
              </w:rPr>
            </w:pPr>
            <w:r>
              <w:rPr>
                <w:rFonts w:hint="eastAsia"/>
                <w:sz w:val="18"/>
                <w:szCs w:val="18"/>
              </w:rPr>
              <w:t xml:space="preserve">（2）系统对接：与《江苏省人口和计划生育综合信息平台》对接，实现调用接口获取人口基本信息、新增人口信息等维护；与《江苏省生育登记服务系统》对接，实现申请人是否在省内其他市是否办理生育登记，信息上传接口；与《出生证明系统》对接，完成出生证明数据获取，并与人口系统数据进行比对；</w:t>
            </w:r>
            <w:r>
              <w:rPr>
                <w:sz w:val="18"/>
                <w:szCs w:val="18"/>
              </w:rPr>
            </w:r>
            <w:r/>
          </w:p>
          <w:p>
            <w:pPr>
              <w:pStyle w:val="998"/>
              <w:spacing w:line="300" w:lineRule="exact"/>
              <w:widowControl/>
              <w:rPr>
                <w:sz w:val="18"/>
                <w:szCs w:val="18"/>
              </w:rPr>
            </w:pPr>
            <w:r>
              <w:rPr>
                <w:rFonts w:hint="eastAsia"/>
                <w:sz w:val="18"/>
                <w:szCs w:val="18"/>
              </w:rPr>
              <w:t xml:space="preserve">（3）出生信息核对：构建出生信息核对功能，实现与人口信息比对，完善本市出生人口数据，主要功能包含：</w:t>
            </w:r>
            <w:r>
              <w:rPr>
                <w:sz w:val="18"/>
                <w:szCs w:val="18"/>
              </w:rPr>
              <w:t xml:space="preserve">数据后台比对</w:t>
            </w:r>
            <w:r>
              <w:rPr>
                <w:rFonts w:hint="eastAsia"/>
                <w:sz w:val="18"/>
                <w:szCs w:val="18"/>
              </w:rPr>
              <w:t xml:space="preserve">、出生信息核对、出生信息分发、出生信息领取、出生信息统计、出生信息查询</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101</w:t>
            </w:r>
            <w:r>
              <w:rPr>
                <w:b/>
                <w:bCs/>
                <w:sz w:val="18"/>
                <w:szCs w:val="18"/>
              </w:rPr>
            </w:r>
            <w:r/>
          </w:p>
        </w:tc>
        <w:tc>
          <w:tcPr>
            <w:tcW w:w="4196" w:type="dxa"/>
            <w:vAlign w:val="center"/>
            <w:textDirection w:val="lrTb"/>
            <w:noWrap w:val="false"/>
          </w:tcPr>
          <w:p>
            <w:pPr>
              <w:pStyle w:val="998"/>
              <w:ind w:left="425" w:hanging="425"/>
              <w:spacing w:after="120" w:line="300" w:lineRule="exact"/>
              <w:rPr>
                <w:b/>
                <w:bCs/>
                <w:sz w:val="18"/>
                <w:szCs w:val="18"/>
              </w:rPr>
            </w:pPr>
            <w:r>
              <w:rPr>
                <w:rFonts w:hint="eastAsia"/>
                <w:b/>
                <w:bCs/>
                <w:sz w:val="18"/>
                <w:szCs w:val="18"/>
              </w:rPr>
              <w:t xml:space="preserve">死亡人员信息核对系统</w:t>
            </w:r>
            <w:r>
              <w:rPr>
                <w:b/>
                <w:bCs/>
                <w:sz w:val="18"/>
                <w:szCs w:val="18"/>
              </w:rPr>
            </w:r>
            <w:r/>
          </w:p>
        </w:tc>
        <w:tc>
          <w:tcPr>
            <w:tcW w:w="413" w:type="dxa"/>
            <w:vAlign w:val="center"/>
            <w:textDirection w:val="lrTb"/>
            <w:noWrap w:val="false"/>
          </w:tcPr>
          <w:p>
            <w:pPr>
              <w:pStyle w:val="998"/>
              <w:ind w:left="425" w:hanging="425"/>
              <w:spacing w:after="120" w:line="300" w:lineRule="exact"/>
              <w:rPr>
                <w:b/>
                <w:bCs/>
                <w:sz w:val="18"/>
                <w:szCs w:val="18"/>
              </w:rPr>
            </w:pPr>
            <w:r>
              <w:rPr>
                <w:b/>
                <w:bCs/>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死亡信息核对：实现人口死亡相关数据的实时核对，从而完善人口数据正确性、完整性为人口死亡注销、奖特扶系统死亡注销提供更准确的终止发放服务，避免重复发放等，功能包含：疾控死亡信息导入、数据整理、死亡信息分发、死亡信息核对、奖扶信息核对（死亡）、死亡信息统计、死亡未确认信息汇总；</w:t>
            </w:r>
            <w:bookmarkStart w:id="198" w:name="_Toc25101"/>
            <w:r/>
            <w:bookmarkStart w:id="199" w:name="_Toc119068755"/>
            <w:r/>
            <w:bookmarkStart w:id="200" w:name="_Toc3425"/>
            <w:r/>
            <w:bookmarkStart w:id="201" w:name="_Toc119397315"/>
            <w:r>
              <w:rPr>
                <w:rFonts w:hint="eastAsia"/>
                <w:sz w:val="18"/>
                <w:szCs w:val="18"/>
              </w:rPr>
              <w:t xml:space="preserve">与县级系统数据对接</w:t>
            </w:r>
            <w:bookmarkEnd w:id="198"/>
            <w:r/>
            <w:bookmarkEnd w:id="199"/>
            <w:r/>
            <w:bookmarkEnd w:id="200"/>
            <w:r/>
            <w:bookmarkEnd w:id="201"/>
            <w:r>
              <w:rPr>
                <w:rFonts w:hint="eastAsia"/>
                <w:sz w:val="18"/>
                <w:szCs w:val="18"/>
              </w:rPr>
              <w:t xml:space="preserve">，实现信息下发部署死亡信息核对功能和奖扶数据死亡信息对比功能。</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gridSpan w:val="2"/>
            <w:tcW w:w="8412" w:type="dxa"/>
            <w:vAlign w:val="center"/>
            <w:textDirection w:val="lrTb"/>
            <w:noWrap w:val="false"/>
          </w:tcPr>
          <w:p>
            <w:pPr>
              <w:pStyle w:val="998"/>
              <w:jc w:val="center"/>
              <w:spacing w:line="300" w:lineRule="exact"/>
              <w:rPr>
                <w:color w:val="000000"/>
                <w:sz w:val="18"/>
                <w:szCs w:val="18"/>
              </w:rPr>
            </w:pPr>
            <w:r/>
            <w:bookmarkStart w:id="202" w:name="_Toc3449"/>
            <w:r>
              <w:rPr>
                <w:rFonts w:hint="eastAsia"/>
                <w:b/>
                <w:bCs/>
                <w:sz w:val="20"/>
                <w:szCs w:val="20"/>
                <w:lang w:bidi="ar"/>
              </w:rPr>
              <w:t xml:space="preserve">二十二、基层疾病分级服务子系统</w:t>
            </w:r>
            <w:bookmarkEnd w:id="202"/>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基层疾病分级服务子系统适配改造，旨在重新改造程序代码以确保其与新架构兼容，支撑国产化环境中构建一个资源联动、流程闭环的双向转诊服务体系。</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02</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转入医院内资源上报与更新</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需通过平台统一接口与HIS系统实现对接。转入医院定时将本院可供其他转出医院使用的资源信息发布至区域平台。供其他转出医院医生转出病人时选择医疗资源信息。转入医院上传的信息需包括：床位、医生（专家）、医疗仪器信息等。若转入医院剩余资源发生变化时，将及时更新区域卫生信息平台的资源信息。</w:t>
            </w:r>
            <w:r>
              <w:rPr>
                <w:sz w:val="18"/>
                <w:szCs w:val="18"/>
              </w:rPr>
            </w:r>
            <w:r/>
          </w:p>
          <w:p>
            <w:pPr>
              <w:pStyle w:val="1010"/>
              <w:ind w:firstLine="0"/>
              <w:rPr>
                <w:rFonts w:hint="eastAsia"/>
                <w:b/>
                <w:bCs/>
                <w:sz w:val="18"/>
                <w:szCs w:val="18"/>
                <w:lang w:eastAsia="zh-CN"/>
              </w:rPr>
            </w:pPr>
            <w:r>
              <w:rPr>
                <w:rFonts w:hint="eastAsia"/>
                <w:b/>
                <w:bCs/>
                <w:sz w:val="18"/>
                <w:szCs w:val="18"/>
                <w:lang w:eastAsia="zh-CN"/>
              </w:rPr>
              <w:t xml:space="preserve">注：须提供信息系统功能截图佐证，不提供不得分。</w:t>
            </w:r>
            <w:r>
              <w:rPr>
                <w:rFonts w:hint="eastAsia"/>
                <w:b/>
                <w:bCs/>
                <w:sz w:val="18"/>
                <w:szCs w:val="18"/>
                <w:lang w:eastAsia="zh-CN"/>
              </w:rPr>
            </w:r>
            <w:r/>
          </w:p>
        </w:tc>
        <w:tc>
          <w:tcPr>
            <w:tcW w:w="413" w:type="dxa"/>
            <w:vAlign w:val="center"/>
            <w:textDirection w:val="lrTb"/>
            <w:noWrap w:val="false"/>
          </w:tcPr>
          <w:p>
            <w:pPr>
              <w:pStyle w:val="998"/>
              <w:spacing w:line="300" w:lineRule="exact"/>
              <w:widowControl/>
              <w:rPr>
                <w:sz w:val="18"/>
                <w:szCs w:val="18"/>
              </w:rPr>
            </w:pPr>
            <w:r>
              <w:rPr>
                <w:rFonts w:eastAsia="仿宋"/>
                <w:color w:val="000000"/>
                <w:sz w:val="20"/>
              </w:rPr>
              <w:t xml:space="preserve">▲</w:t>
            </w: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103</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其它转出医院资源查询</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ascii="宋体" w:hAnsi="宋体" w:cs="仿宋"/>
                <w:sz w:val="18"/>
                <w:szCs w:val="18"/>
              </w:rPr>
              <w:t xml:space="preserve">需通过平台统一的接口方式与HIS系统实现整合。在转出医院的病人需要转院时，首先需要查询转入医院目前的资源情况，根据查询结果，选择合适的转入医院办理转诊手续。</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104</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转出管理</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需通过平台统一接口与HIS系统实现对接。社区或者转出医院首先选择可以转入的有剩余资源的二三级医院，并填写相应的转出信息，通过接口提交至区域卫生信息平台等待审批。</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105</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转入管理</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需通过平台统一接口与HIS系统实现对接。转入的二三级医院在收到区域平台转来的转入请求时首先确定是否有资源可以接纳病人。当可以实现转诊，病人到转入的二三级医院做转入登记时，从区域卫生信息平台获取转入信息，包括病人的历史诊断、就诊、用药等信息，并且将之导入至本院HIS系统，作为本院病人处理。</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106</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病人跟踪</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通过平台统一接口与HIS系统实现对接。转出医院医生可以通过区域卫生信息平台接口，调阅本院转出的病人在二三级转入医院的就诊信息。</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107</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就诊信息回馈</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ascii="宋体" w:hAnsi="宋体" w:cs="仿宋"/>
                <w:sz w:val="18"/>
                <w:szCs w:val="18"/>
              </w:rPr>
              <w:t xml:space="preserve">通过平台统一接口与HIS系统实现对接。转入医院在将转入的病人做完诊疗后，填写相应的回馈信息，通过接口返回至区域卫生信息平台。转出医院的医生可以通过区域平台查看到这些诊断信息。</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108</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远程会诊业务</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ascii="宋体" w:hAnsi="宋体" w:cs="仿宋"/>
                <w:sz w:val="18"/>
                <w:szCs w:val="18"/>
              </w:rPr>
              <w:t xml:space="preserve">需支持护理院填写会诊名称、会诊编号，系统同步代入会诊时间、发起医院、发起科室名称、患者信息等内容发起会诊，待对会诊信息确认通过后，通过南通市远程会诊平台。向参会人员发送会诊邀请，参会人员点击邀请即可进入会诊会议，会议结束后填写会诊报告内容并完成提交。</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二十三、电子票据信息子系统</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rFonts w:ascii="宋体" w:hAnsi="宋体" w:cs="仿宋"/>
                <w:sz w:val="18"/>
                <w:szCs w:val="18"/>
              </w:rPr>
            </w:pPr>
            <w:r>
              <w:rPr>
                <w:rFonts w:hint="eastAsia" w:ascii="宋体" w:hAnsi="宋体" w:cs="仿宋"/>
                <w:sz w:val="18"/>
                <w:szCs w:val="18"/>
              </w:rPr>
              <w:t xml:space="preserve">南通市电子票据信息子系统旨在重新改造程序代码以确保其与新架构兼容，支撑国产化环境中构建面向南通市级及以下医疗机构（包括5家二级医院、28家社区卫生服务中心、94家社区卫生服务站）的医疗票据电子化全流程闭环管理体系。系统将围绕财政医疗电子票据改革的总体目标，在“统一规划、资源整合、规范安全、分步实施”的总原则下，支撑业务规范高效运行，满足财政、医保、卫健委等多方监管需求，提升医疗机构服务效率和患者满意度。</w:t>
            </w:r>
            <w:r>
              <w:rPr>
                <w:rFonts w:ascii="宋体" w:hAnsi="宋体" w:cs="仿宋"/>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320"/>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09</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票据申请管理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（1）申请单发起</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票据申请发起</w:t>
            </w:r>
            <w:r>
              <w:rPr>
                <w:rFonts w:hint="eastAsia" w:ascii="宋体" w:hAnsi="宋体"/>
                <w:sz w:val="18"/>
                <w:szCs w:val="18"/>
              </w:rPr>
              <w:t xml:space="preserve">：允许用户在系统中发起新的票据申请，在线选择票据类型（门诊、住院、挂号等）、填写申请数量、申请单位等核心信息。</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票据申请撤回</w:t>
            </w:r>
            <w:r>
              <w:rPr>
                <w:rFonts w:hint="eastAsia" w:ascii="宋体" w:hAnsi="宋体"/>
                <w:sz w:val="18"/>
                <w:szCs w:val="18"/>
              </w:rPr>
              <w:t xml:space="preserve">：在申请单尚未进入审核流程或审核中途（未被最终审批）时，申请人可主动撤回申请单，防止错误申请继续流转。</w:t>
            </w:r>
            <w:r>
              <w:rPr>
                <w:rFonts w:ascii="宋体" w:hAnsi="宋体"/>
                <w:sz w:val="18"/>
                <w:szCs w:val="18"/>
              </w:rPr>
            </w:r>
            <w:r/>
          </w:p>
          <w:p>
            <w:pPr>
              <w:pStyle w:val="1115"/>
              <w:ind w:left="0"/>
              <w:spacing w:line="360" w:lineRule="auto"/>
              <w:rPr>
                <w:rFonts w:ascii="宋体" w:hAnsi="宋体"/>
                <w:b/>
                <w:bCs/>
                <w:sz w:val="18"/>
                <w:szCs w:val="18"/>
                <w:lang w:eastAsia="zh-CN"/>
              </w:rPr>
            </w:pPr>
            <w:r>
              <w:rPr>
                <w:rFonts w:hint="eastAsia" w:ascii="宋体" w:hAnsi="宋体"/>
                <w:b/>
                <w:bCs/>
                <w:sz w:val="18"/>
                <w:szCs w:val="18"/>
                <w:lang w:eastAsia="zh-CN"/>
              </w:rPr>
              <w:t xml:space="preserve">（2）审核状态跟踪</w:t>
            </w:r>
            <w:r>
              <w:rPr>
                <w:rFonts w:ascii="宋体" w:hAnsi="宋体"/>
                <w:b/>
                <w:bCs/>
                <w:sz w:val="18"/>
                <w:szCs w:val="18"/>
                <w:lang w:eastAsia="zh-CN"/>
              </w:rPr>
            </w:r>
            <w:r/>
          </w:p>
          <w:p>
            <w:pPr>
              <w:pStyle w:val="998"/>
              <w:spacing w:line="300" w:lineRule="exact"/>
              <w:widowControl/>
              <w:rPr>
                <w:rFonts w:ascii="宋体" w:hAnsi="宋体"/>
                <w:sz w:val="18"/>
                <w:szCs w:val="18"/>
              </w:rPr>
            </w:pPr>
            <w:r>
              <w:rPr>
                <w:rFonts w:hint="eastAsia" w:ascii="宋体" w:hAnsi="宋体"/>
                <w:b/>
                <w:bCs/>
                <w:sz w:val="18"/>
                <w:szCs w:val="18"/>
              </w:rPr>
              <w:t xml:space="preserve">① 审核进度可</w:t>
            </w:r>
            <w:r>
              <w:rPr>
                <w:rFonts w:hint="eastAsia" w:ascii="宋体" w:hAnsi="宋体"/>
                <w:sz w:val="18"/>
                <w:szCs w:val="18"/>
              </w:rPr>
              <w:t xml:space="preserve">：实时、清晰地显示申请单审核进度状态（待审核、审核中、已通过、已驳回），并提供各环节处理人及时间信息。</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审核意见查看：</w:t>
            </w:r>
            <w:r>
              <w:rPr>
                <w:rFonts w:hint="eastAsia" w:ascii="宋体" w:hAnsi="宋体"/>
                <w:sz w:val="18"/>
                <w:szCs w:val="18"/>
              </w:rPr>
              <w:t xml:space="preserve">用户可随时查看审核人员针对申请单的具体反馈意见，了解审核详情。</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 驳回申请处理：</w:t>
            </w:r>
            <w:r>
              <w:rPr>
                <w:rFonts w:hint="eastAsia" w:ascii="宋体" w:hAnsi="宋体"/>
                <w:sz w:val="18"/>
                <w:szCs w:val="18"/>
              </w:rPr>
              <w:t xml:space="preserve">对于被驳回的申请单，支持申请人根据审核意见修改相关信息后重新提交，系统记录修改痕迹和重新提交记录。</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④ </w:t>
            </w:r>
            <w:r>
              <w:rPr>
                <w:rFonts w:ascii="宋体" w:hAnsi="宋体"/>
                <w:b/>
                <w:bCs/>
                <w:sz w:val="18"/>
                <w:szCs w:val="18"/>
              </w:rPr>
              <w:t xml:space="preserve">多级库存联动：</w:t>
            </w:r>
            <w:r>
              <w:rPr>
                <w:rFonts w:ascii="宋体" w:hAnsi="宋体"/>
                <w:sz w:val="18"/>
                <w:szCs w:val="18"/>
              </w:rPr>
              <w:t xml:space="preserve">审核时实时展示市级、区级及机构库存状态，支持库存查询与筛选。</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（3）申请记录查询</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申请记录查询：</w:t>
            </w:r>
            <w:r>
              <w:rPr>
                <w:rFonts w:hint="eastAsia" w:ascii="宋体" w:hAnsi="宋体"/>
                <w:sz w:val="18"/>
                <w:szCs w:val="18"/>
              </w:rPr>
              <w:t xml:space="preserve">支持按申请时间范围、票据类型、申请状态、申请单位等多维度组合查询历史申请记录。</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多维查询：</w:t>
            </w:r>
            <w:r>
              <w:rPr>
                <w:rFonts w:hint="eastAsia" w:ascii="宋体" w:hAnsi="宋体"/>
                <w:sz w:val="18"/>
                <w:szCs w:val="18"/>
              </w:rPr>
              <w:t xml:space="preserve">支持用户按申请时间范围、票据类型、申请状态（全部、待审核、已通过、已驳回、已撤回）、申请单位等多个维度组合查询历史申请记录。</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③报表导出：</w:t>
            </w:r>
            <w:r>
              <w:rPr>
                <w:rFonts w:hint="eastAsia" w:ascii="宋体" w:hAnsi="宋体"/>
                <w:sz w:val="18"/>
                <w:szCs w:val="18"/>
              </w:rPr>
              <w:t xml:space="preserve">支持将查询结果导出为标准格式（如Excel）的历史申请记录报表，便于存档或分析。</w:t>
            </w:r>
            <w:r>
              <w:rPr>
                <w:rFonts w:ascii="宋体" w:hAnsi="宋体"/>
                <w:sz w:val="18"/>
                <w:szCs w:val="18"/>
              </w:rPr>
            </w:r>
            <w:r/>
          </w:p>
          <w:p>
            <w:pPr>
              <w:pStyle w:val="998"/>
              <w:numPr>
                <w:ilvl w:val="0"/>
                <w:numId w:val="11"/>
              </w:numPr>
              <w:spacing w:line="300" w:lineRule="exact"/>
              <w:widowControl/>
              <w:rPr>
                <w:rFonts w:ascii="宋体" w:hAnsi="宋体"/>
                <w:b/>
                <w:bCs/>
                <w:sz w:val="18"/>
                <w:szCs w:val="18"/>
              </w:rPr>
            </w:pPr>
            <w:r>
              <w:rPr>
                <w:rFonts w:ascii="宋体" w:hAnsi="宋体"/>
                <w:b/>
                <w:bCs/>
                <w:sz w:val="18"/>
                <w:szCs w:val="18"/>
              </w:rPr>
              <w:t xml:space="preserve">库存管理</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w:t>
            </w:r>
            <w:r>
              <w:rPr>
                <w:rFonts w:ascii="宋体" w:hAnsi="宋体"/>
                <w:b/>
                <w:bCs/>
                <w:sz w:val="18"/>
                <w:szCs w:val="18"/>
              </w:rPr>
              <w:t xml:space="preserve">实时库存监控：</w:t>
            </w:r>
            <w:r>
              <w:rPr>
                <w:rFonts w:ascii="宋体" w:hAnsi="宋体"/>
                <w:sz w:val="18"/>
                <w:szCs w:val="18"/>
              </w:rPr>
              <w:t xml:space="preserve">提供实时视图，展示各级单位（市、区、医院/机构）的票据库存详情，包括票据代码、当前起止票号、可用数量等关键信息。</w:t>
            </w:r>
            <w:r>
              <w:rPr>
                <w:rFonts w:ascii="宋体" w:hAnsi="宋体"/>
                <w:sz w:val="18"/>
                <w:szCs w:val="18"/>
              </w:rPr>
            </w:r>
            <w:r/>
          </w:p>
          <w:p>
            <w:pPr>
              <w:pStyle w:val="998"/>
              <w:spacing w:after="120" w:line="300" w:lineRule="exact"/>
              <w:rPr>
                <w:sz w:val="18"/>
                <w:szCs w:val="18"/>
              </w:rPr>
            </w:pPr>
            <w:r>
              <w:rPr>
                <w:rFonts w:hint="eastAsia" w:ascii="宋体" w:hAnsi="宋体"/>
                <w:b/>
                <w:bCs/>
                <w:sz w:val="18"/>
                <w:szCs w:val="18"/>
              </w:rPr>
              <w:t xml:space="preserve">② </w:t>
            </w:r>
            <w:r>
              <w:rPr>
                <w:rFonts w:ascii="宋体" w:hAnsi="宋体"/>
                <w:b/>
                <w:bCs/>
                <w:sz w:val="18"/>
                <w:szCs w:val="18"/>
              </w:rPr>
              <w:t xml:space="preserve">库存预警机制</w:t>
            </w:r>
            <w:r>
              <w:rPr>
                <w:rFonts w:ascii="宋体" w:hAnsi="宋体"/>
                <w:sz w:val="18"/>
                <w:szCs w:val="18"/>
              </w:rPr>
              <w:t xml:space="preserve">：支持管理员按票据类型和单位设置库存预警阈值（下限）。当库存量低于阈值时，系统自动触发预警通知（如系统消息、邮件、短信）给相关管理人员。</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274"/>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110</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票据开票管理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（1）票据开具</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多业务类型开票：</w:t>
            </w:r>
            <w:r>
              <w:rPr>
                <w:rFonts w:hint="eastAsia" w:ascii="宋体" w:hAnsi="宋体"/>
                <w:sz w:val="18"/>
                <w:szCs w:val="18"/>
              </w:rPr>
              <w:t xml:space="preserve">支持根据不同医疗业务场景（门诊收费、住院结算、体检缴费等）开具对应电子票据。</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灵活开票模式：</w:t>
            </w:r>
            <w:r>
              <w:rPr>
                <w:rFonts w:hint="eastAsia" w:ascii="宋体" w:hAnsi="宋体"/>
                <w:sz w:val="18"/>
                <w:szCs w:val="18"/>
              </w:rPr>
              <w:t xml:space="preserve">提供科室级汇总与费用项目级明细开票两种模式。</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 双模式数据录入：</w:t>
            </w:r>
            <w:r>
              <w:rPr>
                <w:rFonts w:hint="eastAsia" w:ascii="宋体" w:hAnsi="宋体"/>
                <w:sz w:val="18"/>
                <w:szCs w:val="18"/>
              </w:rPr>
              <w:t xml:space="preserve">支持手工录入单张票据和模板批量导入两种方式。</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④ 财政接口自动关联：</w:t>
            </w:r>
            <w:r>
              <w:rPr>
                <w:rFonts w:hint="eastAsia" w:ascii="宋体" w:hAnsi="宋体"/>
                <w:sz w:val="18"/>
                <w:szCs w:val="18"/>
              </w:rPr>
              <w:t xml:space="preserve">系统自动调用财政电子票据接口完成票据生成、赋码和签章。</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⑤ 业务系统实时对接开票：</w:t>
            </w:r>
            <w:r>
              <w:rPr>
                <w:rFonts w:hint="eastAsia" w:ascii="宋体" w:hAnsi="宋体"/>
                <w:sz w:val="18"/>
                <w:szCs w:val="18"/>
              </w:rPr>
              <w:t xml:space="preserve">系统支持与医院HIS或基层医疗信息系统实时对接。</w:t>
            </w:r>
            <w:r>
              <w:rPr>
                <w:rFonts w:ascii="宋体" w:hAnsi="宋体"/>
                <w:sz w:val="18"/>
                <w:szCs w:val="18"/>
              </w:rPr>
            </w:r>
            <w:r/>
          </w:p>
          <w:p>
            <w:pPr>
              <w:pStyle w:val="998"/>
              <w:spacing w:line="300" w:lineRule="exact"/>
              <w:widowControl/>
              <w:rPr>
                <w:rFonts w:ascii="宋体" w:hAnsi="宋体"/>
                <w:b/>
                <w:bCs/>
                <w:sz w:val="18"/>
                <w:szCs w:val="18"/>
              </w:rPr>
            </w:pPr>
            <w:r>
              <w:rPr>
                <w:rFonts w:ascii="宋体" w:hAnsi="宋体"/>
                <w:b/>
                <w:bCs/>
                <w:sz w:val="18"/>
                <w:szCs w:val="18"/>
              </w:rPr>
              <w:t xml:space="preserve">（2）票据明细管理</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标准项目关联：</w:t>
            </w:r>
            <w:r>
              <w:rPr>
                <w:rFonts w:hint="eastAsia" w:ascii="宋体" w:hAnsi="宋体"/>
                <w:sz w:val="18"/>
                <w:szCs w:val="18"/>
              </w:rPr>
              <w:t xml:space="preserve">开票时收费项目明细自动关联标准医疗项目库信息，确保名称、分类、编码规范。</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自定义项目支持：</w:t>
            </w:r>
            <w:r>
              <w:rPr>
                <w:rFonts w:hint="eastAsia" w:ascii="宋体" w:hAnsi="宋体"/>
                <w:sz w:val="18"/>
                <w:szCs w:val="18"/>
              </w:rPr>
              <w:t xml:space="preserve">允许在特殊情况下添加新项目。</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 金额自动校验：</w:t>
            </w:r>
            <w:r>
              <w:rPr>
                <w:rFonts w:hint="eastAsia" w:ascii="宋体" w:hAnsi="宋体"/>
                <w:sz w:val="18"/>
                <w:szCs w:val="18"/>
              </w:rPr>
              <w:t xml:space="preserve">系统对各项金额进行逻辑校验，包括小计、折扣、医保支付、个人支付等，自动计算票据总金额。</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（3）票据作废处理</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电子冲红：</w:t>
            </w:r>
            <w:r>
              <w:rPr>
                <w:rFonts w:hint="eastAsia" w:ascii="宋体" w:hAnsi="宋体"/>
                <w:sz w:val="18"/>
                <w:szCs w:val="18"/>
              </w:rPr>
              <w:t xml:space="preserve">提供冲红（作废）功能，对已开票但需作废的票据生成红字电子票据。</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冲红状态标识：</w:t>
            </w:r>
            <w:r>
              <w:rPr>
                <w:rFonts w:hint="eastAsia" w:ascii="宋体" w:hAnsi="宋体"/>
                <w:sz w:val="18"/>
                <w:szCs w:val="18"/>
              </w:rPr>
              <w:t xml:space="preserve">在票据查询、统计及报表导出中，对已冲红票据进行红色标记或状态列明示“已冲红”。</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（4）电子票据服务</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票据文件生成与下载：</w:t>
            </w:r>
            <w:r>
              <w:rPr>
                <w:rFonts w:hint="eastAsia" w:ascii="宋体" w:hAnsi="宋体"/>
                <w:sz w:val="18"/>
                <w:szCs w:val="18"/>
              </w:rPr>
              <w:t xml:space="preserve">系统自动生成符合财政标准的电子票据PDF文件，支持患者或相关人员在线上查询、预览和下载。</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w:t>
            </w:r>
            <w:r>
              <w:rPr>
                <w:rFonts w:ascii="宋体" w:hAnsi="宋体"/>
                <w:b/>
                <w:bCs/>
                <w:sz w:val="18"/>
                <w:szCs w:val="18"/>
              </w:rPr>
              <w:t xml:space="preserve">多渠道推送：</w:t>
            </w:r>
            <w:r>
              <w:rPr>
                <w:rFonts w:ascii="宋体" w:hAnsi="宋体"/>
                <w:sz w:val="18"/>
                <w:szCs w:val="18"/>
              </w:rPr>
              <w:t xml:space="preserve">支持通过短信、邮件等方式，将电子票据查看和下载链接主动推送给患者。</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w:t>
            </w:r>
            <w:r>
              <w:rPr>
                <w:rFonts w:ascii="宋体" w:hAnsi="宋体"/>
                <w:b/>
                <w:bCs/>
                <w:sz w:val="18"/>
                <w:szCs w:val="18"/>
              </w:rPr>
              <w:t xml:space="preserve">在线真伪验证</w:t>
            </w:r>
            <w:r>
              <w:rPr>
                <w:rFonts w:ascii="宋体" w:hAnsi="宋体"/>
                <w:sz w:val="18"/>
                <w:szCs w:val="18"/>
              </w:rPr>
              <w:t xml:space="preserve">：提供基于财政查验平台的票据真伪在线验证功能入口或集成验证服务。</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④ 院内自助补打：</w:t>
            </w:r>
            <w:r>
              <w:rPr>
                <w:rFonts w:hint="eastAsia" w:ascii="宋体" w:hAnsi="宋体"/>
                <w:sz w:val="18"/>
                <w:szCs w:val="18"/>
              </w:rPr>
              <w:t xml:space="preserve">支持院内部署的自助打印终端，患者可通过扫描缴费小票条码或微信/短信收到的票据二维码，在自助终端上便捷补打电子票据。</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⑤ 窗口指引标识：</w:t>
            </w:r>
            <w:r>
              <w:rPr>
                <w:rFonts w:hint="eastAsia" w:ascii="宋体" w:hAnsi="宋体"/>
                <w:sz w:val="18"/>
                <w:szCs w:val="18"/>
              </w:rPr>
              <w:t xml:space="preserve">要求医疗机构在窗口出具的缴费小票上，清晰、显著地标注电子票据的官方下载渠道信息（如省财政电子票据查验平台网址、官方微信公众号/小程序名称等）。</w:t>
            </w:r>
            <w:r>
              <w:rPr>
                <w:rFonts w:ascii="宋体" w:hAnsi="宋体"/>
                <w:sz w:val="18"/>
                <w:szCs w:val="18"/>
              </w:rPr>
            </w:r>
            <w:r/>
          </w:p>
          <w:p>
            <w:pPr>
              <w:pStyle w:val="998"/>
              <w:spacing w:line="300" w:lineRule="exact"/>
              <w:widowControl/>
              <w:rPr>
                <w:sz w:val="18"/>
                <w:szCs w:val="18"/>
              </w:rPr>
            </w:pPr>
            <w:r>
              <w:rPr>
                <w:rFonts w:hint="eastAsia" w:ascii="宋体" w:hAnsi="宋体"/>
                <w:b/>
                <w:bCs/>
                <w:sz w:val="18"/>
                <w:szCs w:val="18"/>
              </w:rPr>
              <w:t xml:space="preserve">⑥ 本地化存储与补打：</w:t>
            </w:r>
            <w:r>
              <w:rPr>
                <w:rFonts w:hint="eastAsia" w:ascii="宋体" w:hAnsi="宋体"/>
                <w:sz w:val="18"/>
                <w:szCs w:val="18"/>
              </w:rPr>
              <w:t xml:space="preserve">电子票据PDF在医院本地安全存储，支持条件查询历史票据并重新打印。</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245"/>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111</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票据查询与统计</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（1）票据查询</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精准查询：</w:t>
            </w:r>
            <w:r>
              <w:rPr>
                <w:rFonts w:hint="eastAsia" w:ascii="宋体" w:hAnsi="宋体"/>
                <w:sz w:val="18"/>
                <w:szCs w:val="18"/>
              </w:rPr>
              <w:t xml:space="preserve">支持通过票据代码、票号、交款人姓名/证件号等关键信息进行精确查询，快速定位单张票据。</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组合条件查询：</w:t>
            </w:r>
            <w:r>
              <w:rPr>
                <w:rFonts w:hint="eastAsia" w:ascii="宋体" w:hAnsi="宋体"/>
                <w:sz w:val="18"/>
                <w:szCs w:val="18"/>
              </w:rPr>
              <w:t xml:space="preserve">支持按开票时间范围、业务类型（门诊/住院/挂号等）、票据状态（正常/已冲红）等多种条件组合进行查询。</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③多级机构查询：</w:t>
            </w:r>
            <w:r>
              <w:rPr>
                <w:rFonts w:hint="eastAsia" w:ascii="宋体" w:hAnsi="宋体"/>
                <w:sz w:val="18"/>
                <w:szCs w:val="18"/>
              </w:rPr>
              <w:t xml:space="preserve">支持按医疗机构层级（市级、区级、具体医院、社区卫生服务中心/站）进行票据数据查询，满足分级管理需求。</w:t>
            </w:r>
            <w:r>
              <w:rPr>
                <w:rFonts w:ascii="宋体" w:hAnsi="宋体"/>
                <w:sz w:val="18"/>
                <w:szCs w:val="18"/>
              </w:rPr>
            </w:r>
            <w:r/>
          </w:p>
          <w:p>
            <w:pPr>
              <w:pStyle w:val="998"/>
              <w:numPr>
                <w:ilvl w:val="0"/>
                <w:numId w:val="12"/>
              </w:numPr>
              <w:spacing w:line="300" w:lineRule="exact"/>
              <w:widowControl/>
              <w:rPr>
                <w:rFonts w:ascii="宋体" w:hAnsi="宋体"/>
                <w:b/>
                <w:bCs/>
                <w:sz w:val="18"/>
                <w:szCs w:val="18"/>
              </w:rPr>
            </w:pPr>
            <w:r>
              <w:rPr>
                <w:rFonts w:ascii="宋体" w:hAnsi="宋体"/>
                <w:b/>
                <w:bCs/>
                <w:sz w:val="18"/>
                <w:szCs w:val="18"/>
              </w:rPr>
              <w:t xml:space="preserve">统计分析</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①多维度统计：</w:t>
            </w:r>
            <w:r>
              <w:rPr>
                <w:rFonts w:hint="eastAsia" w:ascii="宋体" w:hAnsi="宋体"/>
                <w:sz w:val="18"/>
                <w:szCs w:val="18"/>
              </w:rPr>
              <w:t xml:space="preserve">提供按开票科室、开票医生、收费项目、票据类型、医疗机构等维度进行开票数量、金额的统计汇总。</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w:t>
            </w:r>
            <w:r>
              <w:rPr>
                <w:rFonts w:ascii="宋体" w:hAnsi="宋体"/>
                <w:b/>
                <w:bCs/>
                <w:sz w:val="18"/>
                <w:szCs w:val="18"/>
              </w:rPr>
              <w:t xml:space="preserve">趋势分析：</w:t>
            </w:r>
            <w:r>
              <w:rPr>
                <w:rFonts w:ascii="宋体" w:hAnsi="宋体"/>
                <w:sz w:val="18"/>
                <w:szCs w:val="18"/>
              </w:rPr>
              <w:t xml:space="preserve">支持按日、周、月、年时间周期分析开票量和开票金额变化趋势。</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③机构类型分析：</w:t>
            </w:r>
            <w:r>
              <w:rPr>
                <w:rFonts w:hint="eastAsia" w:ascii="宋体" w:hAnsi="宋体"/>
                <w:sz w:val="18"/>
                <w:szCs w:val="18"/>
              </w:rPr>
              <w:t xml:space="preserve">支持按医疗机构类型（二级医院、社区卫生服务中心、社区卫生服务站）统计分析票据使用情况，对比不同类型机构的开票量、金额及使用率。</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（3）开票统计</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实时开票监控：</w:t>
            </w:r>
            <w:r>
              <w:rPr>
                <w:rFonts w:hint="eastAsia" w:ascii="宋体" w:hAnsi="宋体"/>
                <w:sz w:val="18"/>
                <w:szCs w:val="18"/>
              </w:rPr>
              <w:t xml:space="preserve">提供当日开票量、金额的动态仪表盘，直观展示业务繁忙程度。</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②开票异常告警：</w:t>
            </w:r>
            <w:r>
              <w:rPr>
                <w:rFonts w:hint="eastAsia" w:ascii="宋体" w:hAnsi="宋体"/>
                <w:sz w:val="18"/>
                <w:szCs w:val="18"/>
              </w:rPr>
              <w:t xml:space="preserve">对开票过程中的异常情况（如接口调用失败、开票超时、数据校验错误）进行实时监控并告警。</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③全链路追踪：</w:t>
            </w:r>
            <w:r>
              <w:rPr>
                <w:rFonts w:hint="eastAsia" w:ascii="宋体" w:hAnsi="宋体"/>
                <w:sz w:val="18"/>
                <w:szCs w:val="18"/>
              </w:rPr>
              <w:t xml:space="preserve">支持根据开票流水号或票据代码快速查询并展示票据生成的全链路信息，包括业务发起方（HIS/人工）、调用接口方法、请求报文、响应报文、各环节响应时间及最终处理结果（成功/失败及原因）。</w:t>
            </w:r>
            <w:r>
              <w:rPr>
                <w:rFonts w:ascii="宋体" w:hAnsi="宋体"/>
                <w:sz w:val="18"/>
                <w:szCs w:val="18"/>
              </w:rPr>
            </w:r>
            <w:r/>
          </w:p>
          <w:p>
            <w:pPr>
              <w:pStyle w:val="998"/>
              <w:spacing w:line="300" w:lineRule="exact"/>
              <w:widowControl/>
              <w:rPr>
                <w:sz w:val="18"/>
                <w:szCs w:val="18"/>
              </w:rPr>
            </w:pPr>
            <w:r>
              <w:rPr>
                <w:rFonts w:hint="eastAsia" w:ascii="宋体" w:hAnsi="宋体"/>
                <w:b/>
                <w:bCs/>
                <w:sz w:val="18"/>
                <w:szCs w:val="18"/>
              </w:rPr>
              <w:t xml:space="preserve">④开票监控：</w:t>
            </w:r>
            <w:r>
              <w:rPr>
                <w:rFonts w:hint="eastAsia" w:ascii="宋体" w:hAnsi="宋体"/>
                <w:sz w:val="18"/>
                <w:szCs w:val="18"/>
              </w:rPr>
              <w:t xml:space="preserve">提供实时仪表盘显示当日开票量及金额。</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321"/>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112</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项目管理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（1）项目关联管理</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项目映射管理：</w:t>
            </w:r>
            <w:r>
              <w:rPr>
                <w:rFonts w:hint="eastAsia" w:ascii="宋体" w:hAnsi="宋体"/>
                <w:sz w:val="18"/>
                <w:szCs w:val="18"/>
              </w:rPr>
              <w:t xml:space="preserve">建立并维护医疗机构HIS收费项目与财政标准收费项目的映射关系表。</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智能匹配建议：</w:t>
            </w:r>
            <w:r>
              <w:rPr>
                <w:rFonts w:hint="eastAsia" w:ascii="宋体" w:hAnsi="宋体"/>
                <w:sz w:val="18"/>
                <w:szCs w:val="18"/>
              </w:rPr>
              <w:t xml:space="preserve">在维护映射关系时，系统基于项目名称、编码及历史映射规则提供智能匹配建议。</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（2）项目配置中心</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收费项目库维护：</w:t>
            </w:r>
            <w:r>
              <w:rPr>
                <w:rFonts w:hint="eastAsia" w:ascii="宋体" w:hAnsi="宋体"/>
                <w:sz w:val="18"/>
                <w:szCs w:val="18"/>
              </w:rPr>
              <w:t xml:space="preserve">提供统一界面用于维护标准医疗收费项目库，包括新增、修改、停用等操作。</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②树形分类管理：</w:t>
            </w:r>
            <w:r>
              <w:rPr>
                <w:rFonts w:hint="eastAsia" w:ascii="宋体" w:hAnsi="宋体"/>
                <w:sz w:val="18"/>
                <w:szCs w:val="18"/>
              </w:rPr>
              <w:t xml:space="preserve">支持以树形结构组织和管理收费项目分类，方便用户查找和归类。</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③项目状态控制：</w:t>
            </w:r>
            <w:r>
              <w:rPr>
                <w:rFonts w:hint="eastAsia" w:ascii="宋体" w:hAnsi="宋体"/>
                <w:sz w:val="18"/>
                <w:szCs w:val="18"/>
              </w:rPr>
              <w:t xml:space="preserve">允许管理员控制项目的启用或停用状态。</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（3）机构管理体系</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①多级机构维护：</w:t>
            </w:r>
            <w:r>
              <w:rPr>
                <w:rFonts w:hint="eastAsia" w:ascii="宋体" w:hAnsi="宋体"/>
                <w:sz w:val="18"/>
                <w:szCs w:val="18"/>
              </w:rPr>
              <w:t xml:space="preserve">支持维护市、区（县）、医院/社区卫生服务中心/站多级机构树信息，包括机构名称、编码、类型、地址、联系人等。</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②机构编码规范：</w:t>
            </w:r>
            <w:r>
              <w:rPr>
                <w:rFonts w:hint="eastAsia" w:ascii="宋体" w:hAnsi="宋体"/>
                <w:sz w:val="18"/>
                <w:szCs w:val="18"/>
              </w:rPr>
              <w:t xml:space="preserve">制定并强制执行统一的机构编码规范，确保在系统内及与省平台交互时的唯一性和规范性。</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③电子签章管理：</w:t>
            </w:r>
            <w:r>
              <w:rPr>
                <w:rFonts w:hint="eastAsia" w:ascii="宋体" w:hAnsi="宋体"/>
                <w:sz w:val="18"/>
                <w:szCs w:val="18"/>
              </w:rPr>
              <w:t xml:space="preserve">统一管理各级机构财政电子票据专用电子签章，包括申请、审核、启用、停用、更新等操作。</w:t>
            </w:r>
            <w:r>
              <w:rPr>
                <w:rFonts w:ascii="宋体" w:hAnsi="宋体"/>
                <w:sz w:val="18"/>
                <w:szCs w:val="18"/>
              </w:rPr>
            </w:r>
            <w:r/>
          </w:p>
          <w:p>
            <w:pPr>
              <w:pStyle w:val="998"/>
              <w:spacing w:after="120" w:line="300" w:lineRule="exact"/>
              <w:rPr>
                <w:sz w:val="18"/>
                <w:szCs w:val="18"/>
              </w:rPr>
            </w:pPr>
            <w:r>
              <w:rPr>
                <w:rFonts w:hint="eastAsia" w:ascii="宋体" w:hAnsi="宋体"/>
                <w:b/>
                <w:bCs/>
                <w:sz w:val="18"/>
                <w:szCs w:val="18"/>
              </w:rPr>
              <w:t xml:space="preserve">④ </w:t>
            </w:r>
            <w:r>
              <w:rPr>
                <w:rFonts w:ascii="宋体" w:hAnsi="宋体"/>
                <w:b/>
                <w:bCs/>
                <w:sz w:val="18"/>
                <w:szCs w:val="18"/>
              </w:rPr>
              <w:t xml:space="preserve">机构信息同步：</w:t>
            </w:r>
            <w:r>
              <w:rPr>
                <w:rFonts w:ascii="宋体" w:hAnsi="宋体"/>
                <w:sz w:val="18"/>
                <w:szCs w:val="18"/>
              </w:rPr>
              <w:t xml:space="preserve">建立机构信息同步机制，确保本平台维护的机构基础信息（编码、名称、状态等）与省财政电子票据平台以及辖区内各医疗机构（尤其是基层机构）的HIS系统保持一致。</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133"/>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113</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系统设置</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（1）用户权限体系</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多角色管理：</w:t>
            </w:r>
            <w:r>
              <w:rPr>
                <w:rFonts w:hint="eastAsia" w:ascii="宋体" w:hAnsi="宋体"/>
                <w:sz w:val="18"/>
                <w:szCs w:val="18"/>
              </w:rPr>
              <w:t xml:space="preserve">支持创建和管理不同角色的用户（如财政监管员、卫健委管理员、医院财务员、开票员、机构管理员等），每种角色对应不同职责范围。</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细粒度授权：</w:t>
            </w:r>
            <w:r>
              <w:rPr>
                <w:rFonts w:hint="eastAsia" w:ascii="宋体" w:hAnsi="宋体"/>
                <w:sz w:val="18"/>
                <w:szCs w:val="18"/>
              </w:rPr>
              <w:t xml:space="preserve">提供功能权限和数据权限分配能力，精确控制用户可访问的菜单、按钮及单位数据范围。</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（2）系统参数配置</w:t>
            </w:r>
            <w:r>
              <w:rPr>
                <w:rFonts w:ascii="宋体" w:hAnsi="宋体"/>
                <w:b/>
                <w:bCs/>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① 库存预警设置：</w:t>
            </w:r>
            <w:r>
              <w:rPr>
                <w:rFonts w:hint="eastAsia" w:ascii="宋体" w:hAnsi="宋体"/>
                <w:sz w:val="18"/>
                <w:szCs w:val="18"/>
              </w:rPr>
              <w:t xml:space="preserve">允许管理员配置不同票据类型、不同机构级别的库存预警阈值。</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开票点参数配置：</w:t>
            </w:r>
            <w:r>
              <w:rPr>
                <w:rFonts w:hint="eastAsia" w:ascii="宋体" w:hAnsi="宋体"/>
                <w:sz w:val="18"/>
                <w:szCs w:val="18"/>
              </w:rPr>
              <w:t xml:space="preserve">支持为不同开票点（窗口、自助机、线上渠道）配置默认参数，如默认打印机、票据模板、签章信息等。</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 电子签章参数：</w:t>
            </w:r>
            <w:r>
              <w:rPr>
                <w:rFonts w:hint="eastAsia" w:ascii="宋体" w:hAnsi="宋体"/>
                <w:sz w:val="18"/>
                <w:szCs w:val="18"/>
              </w:rPr>
              <w:t xml:space="preserve">提供界面配置数字签名服务器、电子印章相关连接参数、算法参数等。</w:t>
            </w:r>
            <w:r>
              <w:rPr>
                <w:rFonts w:ascii="宋体" w:hAnsi="宋体"/>
                <w:sz w:val="18"/>
                <w:szCs w:val="18"/>
              </w:rPr>
            </w:r>
            <w:r/>
          </w:p>
          <w:p>
            <w:pPr>
              <w:pStyle w:val="998"/>
              <w:spacing w:line="300" w:lineRule="exact"/>
              <w:widowControl/>
              <w:rPr>
                <w:rFonts w:ascii="宋体" w:hAnsi="宋体"/>
                <w:b/>
                <w:bCs/>
                <w:sz w:val="18"/>
                <w:szCs w:val="18"/>
              </w:rPr>
            </w:pPr>
            <w:r>
              <w:rPr>
                <w:rFonts w:hint="eastAsia" w:ascii="宋体" w:hAnsi="宋体"/>
                <w:b/>
                <w:bCs/>
                <w:sz w:val="18"/>
                <w:szCs w:val="18"/>
              </w:rPr>
              <w:t xml:space="preserve">（3）审计日志</w:t>
            </w:r>
            <w:r>
              <w:rPr>
                <w:rFonts w:ascii="宋体" w:hAnsi="宋体"/>
                <w:b/>
                <w:bCs/>
                <w:sz w:val="18"/>
                <w:szCs w:val="18"/>
              </w:rPr>
            </w:r>
            <w:r/>
          </w:p>
          <w:p>
            <w:pPr>
              <w:pStyle w:val="998"/>
              <w:spacing w:line="300" w:lineRule="exact"/>
              <w:widowControl/>
              <w:rPr>
                <w:rFonts w:ascii="宋体" w:hAnsi="宋体" w:cs="宋体"/>
                <w:sz w:val="18"/>
                <w:szCs w:val="18"/>
              </w:rPr>
            </w:pPr>
            <w:r>
              <w:rPr>
                <w:rFonts w:hint="eastAsia" w:ascii="宋体" w:hAnsi="宋体" w:cs="宋体"/>
                <w:b/>
                <w:bCs/>
                <w:sz w:val="18"/>
                <w:szCs w:val="18"/>
              </w:rPr>
              <w:t xml:space="preserve">①全操作日志：</w:t>
            </w:r>
            <w:r>
              <w:rPr>
                <w:rFonts w:hint="eastAsia" w:ascii="宋体" w:hAnsi="宋体" w:cs="宋体"/>
                <w:sz w:val="18"/>
                <w:szCs w:val="18"/>
              </w:rPr>
              <w:t xml:space="preserve">完整记录系统中所有关键业务操作，如用户登录/登出、票据申请、审核、开票、冲红、项目维护、参数修改、权限变更等。</w:t>
            </w:r>
            <w:r>
              <w:rPr>
                <w:rFonts w:ascii="宋体" w:hAnsi="宋体" w:cs="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接口调用追踪：</w:t>
            </w:r>
            <w:r>
              <w:rPr>
                <w:rFonts w:hint="eastAsia" w:ascii="宋体" w:hAnsi="宋体"/>
                <w:sz w:val="18"/>
                <w:szCs w:val="18"/>
              </w:rPr>
              <w:t xml:space="preserve">记录所有与外部系统（财政接口、HIS系统、短信/邮件网关等）的接口调用日志，包括请求报文、响应报文、响应时间、状态码等。</w:t>
            </w:r>
            <w:r>
              <w:rPr>
                <w:rFonts w:ascii="宋体" w:hAnsi="宋体"/>
                <w:sz w:val="18"/>
                <w:szCs w:val="18"/>
              </w:rPr>
            </w:r>
            <w:r/>
          </w:p>
          <w:p>
            <w:pPr>
              <w:pStyle w:val="998"/>
              <w:spacing w:line="300" w:lineRule="exact"/>
              <w:widowControl/>
              <w:rPr>
                <w:sz w:val="18"/>
                <w:szCs w:val="18"/>
              </w:rPr>
            </w:pPr>
            <w:r>
              <w:rPr>
                <w:rFonts w:hint="eastAsia" w:ascii="宋体" w:hAnsi="宋体"/>
                <w:b/>
                <w:bCs/>
                <w:sz w:val="18"/>
                <w:szCs w:val="18"/>
              </w:rPr>
              <w:t xml:space="preserve">③ 关键操作留痕：</w:t>
            </w:r>
            <w:r>
              <w:rPr>
                <w:rFonts w:hint="eastAsia" w:ascii="宋体" w:hAnsi="宋体"/>
                <w:sz w:val="18"/>
                <w:szCs w:val="18"/>
              </w:rPr>
              <w:t xml:space="preserve">对涉及票据状态变更、资金或重要配置变更的关键业务操作（如开票、冲红、签章使用、核心参数修改），强制要求进行数字签名或电子签章留痕，确保操作的不可抵赖性。</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243"/>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114</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b/>
                <w:bCs/>
                <w:color w:val="000000"/>
                <w:sz w:val="18"/>
                <w:szCs w:val="18"/>
              </w:rPr>
              <w:t xml:space="preserve">个人票夹管理</w:t>
            </w:r>
            <w:r>
              <w:rPr>
                <w:b/>
                <w:bCs/>
                <w:color w:val="000000"/>
                <w:sz w:val="18"/>
                <w:szCs w:val="18"/>
              </w:rPr>
            </w:r>
            <w:r/>
          </w:p>
        </w:tc>
        <w:tc>
          <w:tcPr>
            <w:tcW w:w="413" w:type="dxa"/>
            <w:vAlign w:val="center"/>
            <w:textDirection w:val="lrTb"/>
            <w:noWrap w:val="false"/>
          </w:tcPr>
          <w:p>
            <w:pPr>
              <w:pStyle w:val="998"/>
              <w:spacing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rFonts w:ascii="宋体" w:hAnsi="宋体"/>
                <w:b/>
                <w:bCs/>
                <w:sz w:val="18"/>
                <w:szCs w:val="18"/>
              </w:rPr>
            </w:pPr>
            <w:r>
              <w:rPr>
                <w:rFonts w:hint="eastAsia" w:ascii="宋体" w:hAnsi="宋体"/>
                <w:b/>
                <w:bCs/>
                <w:sz w:val="18"/>
                <w:szCs w:val="18"/>
              </w:rPr>
              <w:t xml:space="preserve">（1）票据查询</w:t>
            </w:r>
            <w:r>
              <w:rPr>
                <w:rFonts w:ascii="宋体" w:hAnsi="宋体"/>
                <w:b/>
                <w:bCs/>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① 票据查询：</w:t>
            </w:r>
            <w:r>
              <w:rPr>
                <w:rFonts w:hint="eastAsia" w:ascii="宋体" w:hAnsi="宋体"/>
                <w:sz w:val="18"/>
                <w:szCs w:val="18"/>
              </w:rPr>
              <w:t xml:space="preserve">患者可通过多种身份核验方式（如姓名+证件号+手机号验证码、刷脸、医保电子凭证等）在线查询个人名下的历史电子票据（门诊、住院、挂号等）。</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② 票据下载：</w:t>
            </w:r>
            <w:r>
              <w:rPr>
                <w:rFonts w:hint="eastAsia" w:ascii="宋体" w:hAnsi="宋体"/>
                <w:sz w:val="18"/>
                <w:szCs w:val="18"/>
              </w:rPr>
              <w:t xml:space="preserve">支持患者下载查询到的个人电子票据PDF文件到本地保存。</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③ 票据打印：</w:t>
            </w:r>
            <w:r>
              <w:rPr>
                <w:rFonts w:hint="eastAsia" w:ascii="宋体" w:hAnsi="宋体"/>
                <w:sz w:val="18"/>
                <w:szCs w:val="18"/>
              </w:rPr>
              <w:t xml:space="preserve">提供在线预览和打印功能，患者可选择将电子票据打印成纸质凭证。</w:t>
            </w:r>
            <w:r>
              <w:rPr>
                <w:rFonts w:ascii="宋体" w:hAnsi="宋体"/>
                <w:sz w:val="18"/>
                <w:szCs w:val="18"/>
              </w:rPr>
            </w:r>
            <w:r/>
          </w:p>
          <w:p>
            <w:pPr>
              <w:pStyle w:val="998"/>
              <w:spacing w:line="300" w:lineRule="exact"/>
              <w:widowControl/>
              <w:rPr>
                <w:rFonts w:ascii="宋体" w:hAnsi="宋体"/>
                <w:sz w:val="18"/>
                <w:szCs w:val="18"/>
              </w:rPr>
            </w:pPr>
            <w:r>
              <w:rPr>
                <w:rFonts w:hint="eastAsia" w:ascii="宋体" w:hAnsi="宋体"/>
                <w:b/>
                <w:bCs/>
                <w:sz w:val="18"/>
                <w:szCs w:val="18"/>
              </w:rPr>
              <w:t xml:space="preserve">④ 个人信息维护：</w:t>
            </w:r>
            <w:r>
              <w:rPr>
                <w:rFonts w:hint="eastAsia" w:ascii="宋体" w:hAnsi="宋体"/>
                <w:sz w:val="18"/>
                <w:szCs w:val="18"/>
              </w:rPr>
              <w:t xml:space="preserve">允许患者查看和更新用于接收票据、验证身份的基本信息，如手机号、邮箱（需验证）。</w:t>
            </w:r>
            <w:r>
              <w:rPr>
                <w:rFonts w:ascii="宋体" w:hAnsi="宋体"/>
                <w:sz w:val="18"/>
                <w:szCs w:val="18"/>
              </w:rPr>
            </w:r>
            <w:r/>
          </w:p>
          <w:p>
            <w:pPr>
              <w:pStyle w:val="998"/>
              <w:spacing w:line="300" w:lineRule="exact"/>
              <w:widowControl/>
              <w:rPr>
                <w:sz w:val="18"/>
                <w:szCs w:val="18"/>
              </w:rPr>
            </w:pPr>
            <w:r>
              <w:rPr>
                <w:rFonts w:hint="eastAsia" w:ascii="宋体" w:hAnsi="宋体"/>
                <w:b/>
                <w:bCs/>
                <w:sz w:val="18"/>
                <w:szCs w:val="18"/>
              </w:rPr>
              <w:t xml:space="preserve">⑤ 操作历史查询：</w:t>
            </w:r>
            <w:r>
              <w:rPr>
                <w:rFonts w:hint="eastAsia" w:ascii="宋体" w:hAnsi="宋体"/>
                <w:sz w:val="18"/>
                <w:szCs w:val="18"/>
              </w:rPr>
              <w:t xml:space="preserve">患者可查看本人在票夹系统中的操作历史记录，如登录时间、查询票据记录、下载/打印记录等，增强透明度和安全感。</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rHeight w:val="90"/>
        </w:trPr>
        <w:tc>
          <w:tcPr>
            <w:gridSpan w:val="2"/>
            <w:tcW w:w="8412" w:type="dxa"/>
            <w:vAlign w:val="center"/>
            <w:textDirection w:val="lrTb"/>
            <w:noWrap w:val="false"/>
          </w:tcPr>
          <w:p>
            <w:pPr>
              <w:pStyle w:val="998"/>
              <w:jc w:val="center"/>
              <w:spacing w:line="300" w:lineRule="exact"/>
              <w:rPr>
                <w:sz w:val="18"/>
                <w:szCs w:val="18"/>
              </w:rPr>
            </w:pPr>
            <w:r>
              <w:rPr>
                <w:rFonts w:hint="eastAsia"/>
                <w:b/>
                <w:bCs/>
                <w:sz w:val="20"/>
                <w:szCs w:val="20"/>
                <w:lang w:bidi="ar"/>
              </w:rPr>
              <w:t xml:space="preserve">二十四、基层结核病管理子系统</w:t>
            </w:r>
            <w:r>
              <w:rPr>
                <w:sz w:val="18"/>
                <w:szCs w:val="18"/>
              </w:rPr>
            </w:r>
            <w:r/>
          </w:p>
        </w:tc>
        <w:tc>
          <w:tcPr>
            <w:tcW w:w="413" w:type="dxa"/>
            <w:vAlign w:val="center"/>
            <w:textDirection w:val="lrTb"/>
            <w:noWrap w:val="false"/>
          </w:tcPr>
          <w:p>
            <w:pPr>
              <w:pStyle w:val="998"/>
              <w:spacing w:line="300" w:lineRule="exact"/>
              <w:rPr>
                <w:b/>
                <w:bCs/>
                <w:sz w:val="18"/>
                <w:szCs w:val="18"/>
                <w:lang w:bidi="ar"/>
              </w:rPr>
            </w:pPr>
            <w:r>
              <w:rPr>
                <w:b/>
                <w:bCs/>
                <w:sz w:val="18"/>
                <w:szCs w:val="18"/>
                <w:lang w:bidi="ar"/>
              </w:rPr>
            </w:r>
            <w:r/>
          </w:p>
        </w:tc>
      </w:tr>
      <w:tr>
        <w:trPr>
          <w:trHeight w:val="253"/>
        </w:trPr>
        <w:tc>
          <w:tcPr>
            <w:gridSpan w:val="2"/>
            <w:tcW w:w="8412" w:type="dxa"/>
            <w:vAlign w:val="center"/>
            <w:textDirection w:val="lrTb"/>
            <w:noWrap w:val="false"/>
          </w:tcPr>
          <w:p>
            <w:pPr>
              <w:pStyle w:val="998"/>
              <w:spacing w:line="300" w:lineRule="exact"/>
              <w:widowControl/>
              <w:rPr>
                <w:sz w:val="18"/>
                <w:szCs w:val="18"/>
              </w:rPr>
            </w:pPr>
            <w:r>
              <w:rPr>
                <w:rFonts w:hint="eastAsia"/>
                <w:sz w:val="18"/>
                <w:szCs w:val="18"/>
              </w:rPr>
              <w:t xml:space="preserve">南通市基层结核病管理子系统旨在重新改造程序代码以确保其与新架构兼容，支撑国产化环境中构建标准统一、功能完善、数据共享、互联互通、高效快捷、安全可靠的市县“结核病管理平台”和基于平台的基层结核病管理业务系统，实现市域范围内结核病防治工作信息共享和业务协同，初步形成结核病分级诊疗和远程医疗机制，对基层结核病管理工作和诊疗行为进行实时智能化监管。通过优化结核病防治工作流程，为以市、县结核病防治机构、基层医疗卫生机构（社区医院、村</w:t>
            </w:r>
            <w:r>
              <w:rPr>
                <w:rFonts w:hint="eastAsia"/>
                <w:color w:val="000000"/>
                <w:sz w:val="18"/>
                <w:szCs w:val="18"/>
              </w:rPr>
              <w:t xml:space="preserve">卫生室</w:t>
            </w:r>
            <w:r>
              <w:rPr>
                <w:rFonts w:hint="eastAsia"/>
                <w:sz w:val="18"/>
                <w:szCs w:val="18"/>
              </w:rPr>
              <w:t xml:space="preserve">）以及患者自我管理等多位一体的结核病防治体系提供动态化、科学化、标准化的工作和管理平台，提高工作效率，降低管理成本。形成具有南通特色的“智慧结防”基本框架，建成应用协同化、服务智能化、管理科学化的智慧结防服务模式</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sz w:val="18"/>
                <w:szCs w:val="18"/>
              </w:rPr>
            </w:pPr>
            <w:r>
              <w:rPr>
                <w:rFonts w:hint="eastAsia"/>
                <w:b/>
                <w:bCs/>
                <w:sz w:val="18"/>
                <w:szCs w:val="18"/>
              </w:rPr>
              <w:t xml:space="preserve">1</w:t>
            </w:r>
            <w:r>
              <w:rPr>
                <w:b/>
                <w:bCs/>
                <w:sz w:val="18"/>
                <w:szCs w:val="18"/>
              </w:rPr>
              <w:t xml:space="preserve">15</w:t>
            </w:r>
            <w:r>
              <w:rPr>
                <w:b/>
                <w:bCs/>
                <w:sz w:val="18"/>
                <w:szCs w:val="18"/>
              </w:rPr>
            </w:r>
            <w:r/>
          </w:p>
        </w:tc>
        <w:tc>
          <w:tcPr>
            <w:tcW w:w="4196" w:type="dxa"/>
            <w:vAlign w:val="center"/>
            <w:textDirection w:val="lrTb"/>
            <w:noWrap w:val="false"/>
          </w:tcPr>
          <w:p>
            <w:pPr>
              <w:pStyle w:val="998"/>
              <w:spacing w:after="120" w:line="300" w:lineRule="exact"/>
              <w:rPr>
                <w:b/>
                <w:bCs/>
                <w:sz w:val="18"/>
                <w:szCs w:val="18"/>
              </w:rPr>
            </w:pPr>
            <w:r>
              <w:rPr>
                <w:rFonts w:hint="eastAsia"/>
                <w:b/>
                <w:bCs/>
                <w:color w:val="000000"/>
                <w:sz w:val="18"/>
                <w:szCs w:val="18"/>
              </w:rPr>
              <w:t xml:space="preserve">系统管理</w:t>
            </w:r>
            <w:r>
              <w:rPr>
                <w:b/>
                <w:bCs/>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rHeight w:val="800"/>
        </w:trPr>
        <w:tc>
          <w:tcPr>
            <w:tcW w:w="391" w:type="dxa"/>
            <w:vAlign w:val="center"/>
            <w:textDirection w:val="lrTb"/>
            <w:noWrap w:val="false"/>
          </w:tcPr>
          <w:p>
            <w:pPr>
              <w:pStyle w:val="998"/>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（1）行政区划管理：建立行政区划数据库，便于对用户以及结核病患者的管理，主要操作包括区划查询、区划新增、区划修改、区划删除、区划导出等。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（2）机构管理：建立机构资料数据库，主要操作包括部门查询、部门新增、部门修改、部门删除、辖区设置、转诊设置、部门导出等。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（3）机构区划管理：设置机构和行政区划之间的关联关系，主要操作包括机构区划查询、机构区划导出等。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（4）岗位管理：管理系统用户的岗位资料，主要操作包括岗位查询、岗位新增、岗位修改、岗位删除、岗位导出等。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（5）字典管理：维护系统所有的数据字典资料，主要操作包括字典查询、字典新增、字典修改、字典删除、字典导出等。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（6）参数设置：设置系统中使用的全局参数资料，主要操作包括参数查询、参数新增、参数修改、参数删除、参数导出等。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（7）通知公告：管理系统中使用的公告信息，主要操作包括公告查询、公告新增 、公告修改、公告删除等。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公告删除：支持单个和批量删除公告。删除操作应有确认提示，并可记录操作日志。</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（8）日志管理：查询系统日志信息，包括操作日志和用户登录日志，主要操作包括操作日志（操作查询、操作删除、详细信息、日志导出）、登录日志（登录查询、登录删除、日志导出）等。</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after="120" w:line="300" w:lineRule="exact"/>
              <w:rPr>
                <w:b/>
                <w:bCs/>
                <w:color w:val="000000"/>
                <w:sz w:val="18"/>
                <w:szCs w:val="18"/>
              </w:rPr>
            </w:pPr>
            <w:r>
              <w:rPr>
                <w:b/>
                <w:bCs/>
                <w:color w:val="000000"/>
                <w:sz w:val="18"/>
                <w:szCs w:val="18"/>
              </w:rPr>
              <w:t xml:space="preserve">116</w:t>
            </w:r>
            <w:r>
              <w:rPr>
                <w:b/>
                <w:bCs/>
                <w:color w:val="000000"/>
                <w:sz w:val="18"/>
                <w:szCs w:val="18"/>
              </w:rPr>
            </w:r>
            <w:r/>
          </w:p>
        </w:tc>
        <w:tc>
          <w:tcPr>
            <w:tcW w:w="4196" w:type="dxa"/>
            <w:vAlign w:val="center"/>
            <w:textDirection w:val="lrTb"/>
            <w:noWrap w:val="false"/>
          </w:tcPr>
          <w:p>
            <w:pPr>
              <w:pStyle w:val="998"/>
              <w:spacing w:after="120" w:line="300" w:lineRule="exact"/>
              <w:rPr>
                <w:b/>
                <w:bCs/>
                <w:color w:val="000000"/>
                <w:sz w:val="18"/>
                <w:szCs w:val="18"/>
              </w:rPr>
            </w:pPr>
            <w:r>
              <w:rPr>
                <w:rFonts w:hint="eastAsia"/>
                <w:b/>
                <w:bCs/>
                <w:color w:val="000000"/>
                <w:sz w:val="18"/>
                <w:szCs w:val="18"/>
              </w:rPr>
              <w:t xml:space="preserve">基础维护</w:t>
            </w:r>
            <w:r>
              <w:rPr>
                <w:b/>
                <w:bCs/>
                <w:color w:val="000000"/>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（1）药品维护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药品通用名：建立结核病相关药品通用名资料库，主要操作包括查询、列表显示、新增、修改、删除等。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药品剂型：建立结核病相关药品剂型资料库，主要操作包括查询、列表显示、新增、修改、删除等。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免费结核药：由市级疾控中心建立南通地区免费抗结核治疗药品目录；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免费结核药品目录的查询、新增、修改、删除操作；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免费结核药品用法的查询、新增、修改、删除操作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院内结核药：市县区各结核病定点诊疗机构建立非上级调拨的抗结核治疗药品目录；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院内结核药品目录的查询、新增、修改、删除操作。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（2）检查检验维护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项目代码：建立各类检查检验项目代码库；</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检查检验项目的查询、新增、修改、删除操作。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检验项目：建立检验项目目录，建立组合检验项目目录；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检验项目的查询、新增、修改、删除操作。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组合检验项目的查询、新增、修改、删除、组合明细设置操作。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检查项目：建立检查项目目录，建立组合检查项目目录；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检查项目的查询、新增、修改、删除操作。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组合检查项目的查询、新增、修改、删除、组合明细设置操作。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（3）病历模版维护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主诉模版：维护常用诊断主诉资料模板；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常用诊断主诉模板的查询、新增、修改、删除操作。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病史模版：维护常用诊断病史资料模板；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常用诊断病史模板的查询、新增、修改、删除操作。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体格检查模版：维护常用诊断体格检查资料模板；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常用诊断体格检查模板的查询、新增、修改、删除操作。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（4）诊断管理维护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ICD10目录：维护ICD10疾病诊断目录；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ICD10疾病诊断目录的查询、新增、修改、删除操作。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ICD9目录：维护ICD9手术目录；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ICD9手术目录的查询、新增、修改、删除操作。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常见诊断：根据ICD10目录维护常见诊断资料库；</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常见诊断的查询、新增、修改、删除操作。</w:t>
            </w:r>
            <w:r>
              <w:rPr>
                <w:color w:val="000000"/>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117</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专科诊疗管理</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本部分功能主要使用对象为市县区各结核病定点诊疗机构、部分功能使用对象为非定点诊疗医疗机构和乡镇卫生院。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（1）门诊工作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就诊登记：患者就诊信息登记，采集患者相关信息；复诊患者信息自动导入；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患者就诊的查询、新增、修改、删除操作。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复诊患者就诊登记时根据身份证号自动调取个人基本信息。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患者接诊：门诊医生对就诊患者进行接诊，进行电子病历相关内容录入；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查询就诊登记患者信息、就诊处理；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患者就诊电子病历登记：历史电子病历翻阅、病历暂存、病历完成、取消完成、治疗管理卡、患者基本信息（基本信</w:t>
            </w:r>
            <w:r>
              <w:rPr>
                <w:rFonts w:hint="eastAsia"/>
                <w:color w:val="000000"/>
                <w:sz w:val="18"/>
                <w:szCs w:val="18"/>
              </w:rPr>
              <w:t xml:space="preserve">息更新、居住信息更新、监护信息更新）、既往史管理（包括过敏史、手术史、外伤史、输血史、个人史、职业史、吸烟史、饮酒史、药物嗜好、家族史的查询、新增、修改和删除）、现病史管理（包括主诉、现病史、体格检查信息、初步诊断的添加修改删除）、专科情况（包括本次症状相关信息、影像检查相关信息、免疫检查相关信息、病原检查相关信息、其他检查相关信息、结核病史相关信息、其他病史相关信息、其他情况说明）、医嘱管理（包括处方医嘱、检查医嘱、检验医嘱、嘱托医嘱、住院医嘱、医嘱打印、结核患者登记）、文本电子病历的自动创建修改和打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在诊患者：当前就诊病历未完成患者查询，可以打开电子病历进行内容补充；</w:t>
            </w:r>
            <w:r>
              <w:rPr>
                <w:color w:val="000000"/>
                <w:sz w:val="18"/>
                <w:szCs w:val="18"/>
              </w:rPr>
            </w:r>
            <w:r/>
          </w:p>
          <w:p>
            <w:pPr>
              <w:pStyle w:val="998"/>
              <w:spacing w:after="120" w:line="300" w:lineRule="exact"/>
              <w:rPr>
                <w:color w:val="000000"/>
                <w:sz w:val="18"/>
                <w:szCs w:val="18"/>
              </w:rPr>
            </w:pPr>
            <w:r>
              <w:rPr>
                <w:rFonts w:hint="eastAsia"/>
                <w:color w:val="000000"/>
                <w:sz w:val="18"/>
                <w:szCs w:val="18"/>
              </w:rPr>
              <w:t xml:space="preserve">查询已经接诊没有完成本次就诊患者信息、就诊处理；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患者就诊电子病历登记：历史电子病历翻阅、病历暂存、病历完成、取消完成、治疗管理卡、患者基本信息、既往史管理、现病史管理、专科情况、医嘱管理、文本电子病历的自动创建修改和打印。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自费发药：市县区各结核病定点诊疗机构针对患者开具的非免费药品进行发放处理；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根据查询时间段、患者姓名、患者身份证号、发药状态（未发药/已发药）查询患者发药记录；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对未发药记录进行发药处理；对已发药记录进行取消发药处理。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（2）转诊会诊</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转诊管理：辖区发现疑似患者转诊信息填报（包括修改、删除）、转入患者接收和到位处理、转入患者检查结果录入等；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查询时间段内辖区转入和本机构转出疑似结核患者转诊记录；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新增、修改、删除本机构转出记录；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对转入本机构的转诊记录进行转入确认、到位处理、患者检查结果登记等。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转入密接管理：辖区村卫生室填报结核病患者密切接触者信息接收和到位处理，免费检查结果录入；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查询时间段内辖区登记结核病患者密切接触者信息；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对密切接触者登记记录进行转入确认、到位处理、检查结果登记等。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会诊管理：结核病定点诊疗机构发起会诊申请，在线邀请系统中其他定点诊疗机构专家对某患者进行会诊；会诊专家在线浏览患者病历并下达会诊意见；</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查询时间段内会诊申请记录、添加修改删除会诊记录（包括患者姓名、身份证件号、性别、登记号、家庭住址、截至日期等）；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邀请本系统中各个定点机构的专家参加本次会诊；</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会诊专家对自己参与的会诊进行患者病历浏览、会诊意见登记。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（3）门诊登记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门诊日志：查询患者的历史门诊日志，可打开相应的电子病历查看内容；可以进行简易门诊的登记；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根据查询时间段、患者姓名、患者身份证号、病历完成情况查询患者就诊记录；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打开相应的电子病历查看单次就诊详情；</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患者简易门诊登记，新增一次患者就诊记录，进行电子病历信息登记。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初诊登记：查询患者的初诊登记本信息，可以导出相关资料；</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根据查询时间段、患者姓名、患者身份证号、就诊机构查询患者初诊登记本记录；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导出患者初诊登记本记录。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住院管理：查询患者的住院登记本，可以进行住院证打印和出院处理；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根据查询时间段、患者姓名、患者身份证号、是否出院查询患者住院登记信息；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患者住院证打印、出院处理。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疫情报告：查询大疫情网下载的结核病相关网报卡片资料；</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根据查询时间段、患者姓名、患者身份证号、卡片状态查询患者大疫情网报告信息。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免费检查：查询患者的免费检查检验信息；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根据查询时间段、患者姓名、患者身份证号、检查检验类别查询患者结核免费检查信息。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登记患者：查询结核病确诊病案信息，可对病案进行基本信息修改、登记信息修改、查询结核药品预约取药信息、患者药品服用日历、服药卡在线打印、患者密切接触人员填报、患者随访登记、检查检验记录和住院情况查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根据查询内容类型、登记日期、患者姓名、身份证件号、医院登记号、所在地区、治疗分类、登记分类、疗程状态查询患者结核病治疗病案信息；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治疗管理卡管理：包括基本信息浏览和更新、结核登记信息浏览更新、预约取药信息查询、取药记录浏览、服药日历管理、患者密切接触者维护、健康管理随访记录维护、历史检查检验记录查看和历史住院信息查看。</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诊断性治疗登记本：查询结核患者诊断性治疗登记信息；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根据就诊开始时间、结束时间、患者姓名、身份证件号、定点就诊机构、所在地区查询诊断性治疗登记信息。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潜伏感染登记管理：查询结核潜伏感染患者登记信息；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根据就诊开始时间、结束时间、患者姓名、身份证件号、定点就诊机构、所在地区查询结核潜伏感染患者登记信息。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潜伏感染预防服药：查询结核潜伏感染需预防服药患者登记信息；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根据登记开始时间、结束时间、患者姓名、身份证件号、定点机构、所在地区、预防性服药编号查询结核潜伏感染需预防服药患者登记信息。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预防服药患者查看治疗随访记录。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（4）病原检查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痰涂片检查登记本：查询痰涂片检查登记信息、检查结果填报、数据导出和工作量统计；</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分枝杆菌培养检查：查询分枝杆菌培养登记信息、检查结果填报、标本转运、数据导出；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分枝杆菌培养接收：查询分枝杆菌培养检查信息、标本接收、数据导出；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药物药敏试验检查：查询药物药敏试验检查登记信息、检查结果填报、数据导出；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结核杆菌核酸检测：查询结核杆菌核酸检测登记信息、检查结果填报、数据导出；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（5）药品管理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定点机构药库：包括药房免费药品申领、调拨药品入库、药品其他入库、药品入库复核、免费药品出库、药品其他出库、药品调拨出库、免费药品库存、药品有效期查询等；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定点机构药房：包括免费药品申领、药品入库复核、药品退回药库、免费药品库存、药房发药处理、药房发药统计、药品有效期查询等；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（6）统计分析</w:t>
            </w:r>
            <w:r>
              <w:rPr>
                <w:color w:val="000000"/>
                <w:sz w:val="18"/>
                <w:szCs w:val="18"/>
              </w:rPr>
            </w:r>
            <w:r/>
          </w:p>
          <w:p>
            <w:pPr>
              <w:pStyle w:val="998"/>
              <w:spacing w:line="300" w:lineRule="exact"/>
              <w:widowControl/>
              <w:rPr>
                <w:color w:val="000000"/>
                <w:sz w:val="18"/>
                <w:szCs w:val="18"/>
              </w:rPr>
            </w:pPr>
            <w:r>
              <w:rPr>
                <w:color w:val="000000"/>
                <w:sz w:val="18"/>
                <w:szCs w:val="18"/>
              </w:rPr>
              <w:t xml:space="preserve">初诊患者统计：根据条件分类统计定点机构结核病患者初诊登记数据，浏览信息包括初诊人数、影像学检查人数、病原学检测、总人数、涂片人数、培养人数、分子生物学检测人数等；</w:t>
            </w:r>
            <w:r>
              <w:rPr>
                <w:color w:val="000000"/>
                <w:sz w:val="18"/>
                <w:szCs w:val="18"/>
              </w:rPr>
            </w:r>
            <w:r/>
          </w:p>
          <w:p>
            <w:pPr>
              <w:pStyle w:val="998"/>
              <w:spacing w:line="300" w:lineRule="exact"/>
              <w:widowControl/>
              <w:rPr>
                <w:sz w:val="18"/>
                <w:szCs w:val="18"/>
              </w:rPr>
            </w:pPr>
            <w:r>
              <w:rPr>
                <w:color w:val="000000"/>
                <w:sz w:val="18"/>
                <w:szCs w:val="18"/>
              </w:rPr>
              <w:t xml:space="preserve">药品用量情况：根据条件统计定点机构结核药品使用数据，包括期初数据、期间入库量、期间出库量、期末库存等，浏览信息包括药品分类、品名、规格、单位、第一天库存量、入库量、其他入库量、发放量、其他出库量、最后一天库存量等；</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118</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管理平台</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本部分功能主要使用对象为市县区各级疾控中心、乡镇卫生院、卫生所、村卫生室。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（1）临床管理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门诊日志：查询辖区内患者的历史门诊日志，可打开相应的电子病历查看内容。</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根据查询时间段、患者姓名、患者身份证号、病历完成情况查询患者就诊记录；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打开相应的电子病历查看单次就诊详情。</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初诊登记：查询辖区内患者的初诊登记本信息，可以导出相关资料；</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根据查询时间段、患者姓名、患者身份证号、就诊机构查询患者初诊登记本记录；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导出患者初诊登记本记录。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住院管理：查询辖区内患者的住院登记信息；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根据查询时间段、患者姓名、患者身份证号、是否出院查询患者住院登记信息。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免费检查：查询辖区内患者的免费检查检验信息；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根据查询时间段、患者姓名、患者身份证号、检查检验类别查询患者结核免费检查信息。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医疗质控：查询辖区内患者病原学阴性肺结核诊断依据核查资料；</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根据查询时间段、患者姓名、患者身份证号、所在地区查询患者医疗质控信息。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（2）病原检查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痰涂片检查登记本：查询辖区内患者痰涂片检查信息；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分枝杆菌培养检查：查询辖区内患者分枝杆菌培养检查信息；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药物药敏试验检查：查询辖区内患者药物药敏试验检查信息；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结核杆菌核酸检测：查询辖区内患者结核杆菌核酸检测信息；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（3）药品管理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市级免费药品管理：包括免费药品入库、免费药品出库、免费药品调拨、药品其他出库、药品其他入库、免费药品库存查询、定点机构药库库存查询、定点机构药房库存查询、药品有效期查询等。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（4）患者发现管理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辖区疑似症状筛查：查询辖区内结核病疑似症状筛查信息；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查询时间段内辖区转入和本机构转出疑似结核患者转诊记录；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新增、修改、删除本机构转出记录；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对转入本机构的转诊记录进行转入确认、到位处理、患者检查结果登记等。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辖区密接调查筛查：查询辖区内患者密接人群调查筛查信息；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辖区疑似病人登记：查询辖区内疑似病患者登记信息；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辖区网报结核追踪：查询辖区内网络直报结核追踪信息、导入(来源国家网传染病监测个案)、导入(来源国家网监测报告管理)、报告卡信息补充、患者到位、患者追踪处理等；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辖区疫情报告登记：查询辖区内大疫情网疫情报告登记信息、导入(来源国家网传染病监测个案)、导入(来源国家网监测报告管理)。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（5）治疗管理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肺结核治疗管理卡：查询辖区内结核病确诊病案信息，可对病案进行基本信息修改、登记信息修改、查询结核药品预约取药信息、患者药品服用日历、服药卡在线打印。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患者随访服务管理：查询辖区内结核病患者随访记录并进行相应的管理；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诊断性治疗登记本：查询辖区内结核患者诊断性治疗登记信息；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潜伏感染登记管理：查询辖区内结核潜伏感染患者登记信息；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潜伏感染预防服药：查询辖区内结核潜伏感染需预防服药患者登记信息；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密接人群健康管理：查询辖区内结核病患密切接触者资料，并定期进行随访健康管理。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（6）耐药管理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耐药发现筛查管理：查询辖区内耐药发现结核患者筛查信息；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耐药肺结核治管卡：查询辖区内耐药肺结核患者治疗管理卡信息并进行相应的健康管理和随访。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（7）学校疫情管理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新生入学结核筛查：辖区内新生入学结核筛查数据导入和查询；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学校结核疫情监测：辖区内学校结核疫情信息查询并核实；</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学校结核治疗管理：辖区内学校结核确诊患者健康管理，可对病案进行基本信息修改、登记信息修改、查询结核药品预约取药信息、患者药品服用日历、服药卡在线打印。</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季度随访：辖区内糖尿病人档案登记、档案迁移、档案导出、定期随访录入、疑似结核人员转诊上报；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辖区随访结果：辖区内糖尿病人随访结果查询和导出；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个人档案迁移：辖区内糖尿病人随访人员档案迁移处理。</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（9）统计分析</w:t>
            </w:r>
            <w:r>
              <w:rPr>
                <w:color w:val="000000"/>
                <w:sz w:val="18"/>
                <w:szCs w:val="18"/>
              </w:rPr>
            </w:r>
            <w:r/>
          </w:p>
          <w:p>
            <w:pPr>
              <w:pStyle w:val="998"/>
              <w:spacing w:line="300" w:lineRule="exact"/>
              <w:widowControl/>
              <w:rPr>
                <w:sz w:val="18"/>
                <w:szCs w:val="18"/>
              </w:rPr>
            </w:pPr>
            <w:r>
              <w:rPr>
                <w:rFonts w:hint="eastAsia"/>
                <w:color w:val="000000"/>
                <w:sz w:val="18"/>
                <w:szCs w:val="18"/>
              </w:rPr>
              <w:t xml:space="preserve">初诊患者统计：根据条件分类统计辖区内结核病患者初诊</w:t>
            </w:r>
            <w:r>
              <w:rPr>
                <w:rFonts w:hint="eastAsia"/>
                <w:sz w:val="18"/>
                <w:szCs w:val="18"/>
              </w:rPr>
              <w:t xml:space="preserve">登记数据；</w:t>
            </w:r>
            <w:r>
              <w:rPr>
                <w:sz w:val="18"/>
                <w:szCs w:val="18"/>
              </w:rPr>
            </w:r>
            <w:r/>
          </w:p>
          <w:p>
            <w:pPr>
              <w:pStyle w:val="998"/>
              <w:spacing w:line="300" w:lineRule="exact"/>
              <w:widowControl/>
              <w:rPr>
                <w:color w:val="000000"/>
                <w:sz w:val="18"/>
                <w:szCs w:val="18"/>
              </w:rPr>
            </w:pPr>
            <w:r>
              <w:rPr>
                <w:rFonts w:hint="eastAsia"/>
                <w:color w:val="000000"/>
                <w:sz w:val="18"/>
                <w:szCs w:val="18"/>
              </w:rPr>
              <w:t xml:space="preserve">药品用量情况：根据条件统计辖区内定点机构结核药品使用数据，包括期初数据、期间入库量、期间出库量、期末库存等；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糖尿病随访统计：辖区内糖尿病人随访数据统计。</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（10）绩效考核</w:t>
            </w:r>
            <w:r>
              <w:rPr>
                <w:color w:val="000000"/>
                <w:sz w:val="18"/>
                <w:szCs w:val="18"/>
              </w:rPr>
            </w:r>
            <w:r/>
          </w:p>
          <w:p>
            <w:pPr>
              <w:pStyle w:val="998"/>
              <w:spacing w:line="300" w:lineRule="exact"/>
              <w:widowControl/>
              <w:rPr>
                <w:sz w:val="18"/>
                <w:szCs w:val="18"/>
              </w:rPr>
            </w:pPr>
            <w:r>
              <w:rPr>
                <w:color w:val="000000"/>
                <w:sz w:val="18"/>
                <w:szCs w:val="18"/>
              </w:rPr>
              <w:t xml:space="preserve">工作量统计：针对辖区内下属机构类别和相应的工作量统计口径进行数据统计</w:t>
            </w:r>
            <w:r>
              <w:rPr>
                <w:rFonts w:hint="eastAsia"/>
                <w:color w:val="000000"/>
                <w:sz w:val="18"/>
                <w:szCs w:val="18"/>
              </w:rPr>
              <w:t xml:space="preserve">。</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t xml:space="preserve">119</w:t>
            </w:r>
            <w:r>
              <w:rPr>
                <w:b/>
                <w:bCs/>
                <w:sz w:val="18"/>
                <w:szCs w:val="18"/>
              </w:rPr>
            </w:r>
            <w:r/>
          </w:p>
        </w:tc>
        <w:tc>
          <w:tcPr>
            <w:tcW w:w="4196" w:type="dxa"/>
            <w:vAlign w:val="center"/>
            <w:textDirection w:val="lrTb"/>
            <w:noWrap w:val="false"/>
          </w:tcPr>
          <w:p>
            <w:pPr>
              <w:pStyle w:val="998"/>
              <w:spacing w:after="120" w:line="300" w:lineRule="exact"/>
              <w:rPr>
                <w:sz w:val="18"/>
                <w:szCs w:val="18"/>
              </w:rPr>
            </w:pPr>
            <w:r>
              <w:rPr>
                <w:rFonts w:hint="eastAsia"/>
                <w:b/>
                <w:bCs/>
                <w:color w:val="000000"/>
                <w:sz w:val="18"/>
                <w:szCs w:val="18"/>
              </w:rPr>
              <w:t xml:space="preserve">系统工具</w:t>
            </w:r>
            <w:r>
              <w:rPr>
                <w:sz w:val="18"/>
                <w:szCs w:val="18"/>
              </w:rPr>
            </w:r>
            <w:r/>
          </w:p>
        </w:tc>
        <w:tc>
          <w:tcPr>
            <w:tcW w:w="413" w:type="dxa"/>
            <w:vAlign w:val="center"/>
            <w:textDirection w:val="lrTb"/>
            <w:noWrap w:val="false"/>
          </w:tcPr>
          <w:p>
            <w:pPr>
              <w:pStyle w:val="998"/>
              <w:spacing w:after="120" w:line="300" w:lineRule="exact"/>
              <w:rPr>
                <w:b/>
                <w:bCs/>
                <w:color w:val="000000"/>
                <w:sz w:val="18"/>
                <w:szCs w:val="18"/>
              </w:rPr>
            </w:pPr>
            <w:r>
              <w:rPr>
                <w:b/>
                <w:bCs/>
                <w:color w:val="000000"/>
                <w:sz w:val="18"/>
                <w:szCs w:val="18"/>
              </w:rPr>
            </w:r>
            <w:r/>
          </w:p>
        </w:tc>
      </w:tr>
      <w:tr>
        <w:trPr/>
        <w:tc>
          <w:tcPr>
            <w:tcW w:w="391" w:type="dxa"/>
            <w:vAlign w:val="center"/>
            <w:textDirection w:val="lrTb"/>
            <w:noWrap w:val="false"/>
          </w:tcPr>
          <w:p>
            <w:pPr>
              <w:pStyle w:val="998"/>
              <w:ind w:left="425" w:hanging="425"/>
              <w:jc w:val="center"/>
              <w:spacing w:after="120" w:line="300" w:lineRule="exact"/>
              <w:rPr>
                <w:b/>
                <w:bCs/>
                <w:sz w:val="18"/>
                <w:szCs w:val="18"/>
              </w:rPr>
            </w:pPr>
            <w:r>
              <w:rPr>
                <w:b/>
                <w:bCs/>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（1）内容管理：设置系统端内容发布信息。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内容查询：支持按内容标题、所属栏目、发布人进行查询。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列表显示：内容标题、所属栏目、发布人、发布时间、状态。</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内容新增：需选择内容所属的栏目。必须填写项：内容标题、图片URL、视频URL、正文内容。</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内容修改：可修改公告的所有字段。</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内容删除：支持单个和批量删除内容。</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（2）在线用户：当前系统在线用户浏览、查询。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在线用户查询：支持按用户姓名、登录IP地址进行查询。</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实时列表显示：用户账号、用户姓名、登录IP、登录时间、最后操作时间、在线时长。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用户会话管理：强制下线：可选择单个或多个在线用户，强制其退出登录。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查看详情：可查看选定用户的详细会话信息，如当前活动模块等。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（3）定时任务：设置系统所需执行的定时任务并监控执行状态。</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任务查询：列表显示所有定时任务，信息包括：任务名称、任务类、执行周期、最近执行时间、下次执行时间、当前状态（运行中/已暂停）。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任务新增/编辑：可配置新的定时任务或编辑现有任务。</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需配置项：任务名称、任务类/方法、Cron表达式（执行周期）、任务参数、是否启用。</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任务状态控制：立即执行：手动触发一次任务的立即执行。</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启动/暂停：动态控制某个定时任务的启用与禁用状态，无需修改代码。</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执行日志：查看每个定时任务的历史执行记录。</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日志信息包括：执行时间、执行结果（成功/失败）、错误信息（如果失败）。</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（4）数据监控：查看当前系统数据库使用状态。</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数据库状态概览：实时显示核心指标：当前连接数、总数据量、数据库版本。以图表形式展示历史连接数、数据增长趋势。</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空间使用情况：展示各主要业务表的数据量及占用空间大小。监控数据库总空间使用率，并设置阈值告警。</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慢查询监控：列出执行时间超过阈值的SQL语句，方便进行性能优化。</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（5）服务监控：查看当前系统服务工作状态，包括CPU、内存、磁盘空间等。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系统资源监控：实时展示：CPU使用率、内存使用率、磁盘I/O、网络流量。</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磁盘空间监控：清晰展示各磁盘分区（如C:、D:）的总空间、已用空间及使用率。</w:t>
            </w:r>
            <w:r>
              <w:rPr>
                <w:color w:val="000000"/>
                <w:sz w:val="18"/>
                <w:szCs w:val="18"/>
              </w:rPr>
            </w:r>
            <w:r/>
          </w:p>
          <w:p>
            <w:pPr>
              <w:pStyle w:val="998"/>
              <w:spacing w:line="300" w:lineRule="exact"/>
              <w:widowControl/>
              <w:rPr>
                <w:sz w:val="18"/>
                <w:szCs w:val="18"/>
              </w:rPr>
            </w:pPr>
            <w:r>
              <w:rPr>
                <w:rFonts w:hint="eastAsia"/>
                <w:color w:val="000000"/>
                <w:sz w:val="18"/>
                <w:szCs w:val="18"/>
              </w:rPr>
              <w:t xml:space="preserve">应用服务监控：监控关键应用服务的状态（如运行中/已停止）。监控JVM内存（堆内存、非堆内存）、线程池状态等关键指标。</w:t>
            </w:r>
            <w:r>
              <w:rPr>
                <w:sz w:val="18"/>
                <w:szCs w:val="18"/>
              </w:rPr>
            </w:r>
            <w:r/>
          </w:p>
        </w:tc>
        <w:tc>
          <w:tcPr>
            <w:tcW w:w="413" w:type="dxa"/>
            <w:vAlign w:val="center"/>
            <w:textDirection w:val="lrTb"/>
            <w:noWrap w:val="false"/>
          </w:tcPr>
          <w:p>
            <w:pPr>
              <w:pStyle w:val="998"/>
              <w:spacing w:after="120" w:line="300" w:lineRule="exact"/>
              <w:rPr>
                <w:sz w:val="18"/>
                <w:szCs w:val="18"/>
              </w:rPr>
            </w:pPr>
            <w:r>
              <w:rPr>
                <w:sz w:val="18"/>
                <w:szCs w:val="18"/>
              </w:rPr>
            </w:r>
            <w:r/>
          </w:p>
        </w:tc>
      </w:tr>
      <w:tr>
        <w:trPr/>
        <w:tc>
          <w:tcPr>
            <w:gridSpan w:val="2"/>
            <w:tcW w:w="8412" w:type="dxa"/>
            <w:vAlign w:val="center"/>
            <w:textDirection w:val="lrTb"/>
            <w:noWrap w:val="false"/>
          </w:tcPr>
          <w:p>
            <w:pPr>
              <w:pStyle w:val="998"/>
              <w:jc w:val="center"/>
              <w:spacing w:line="300" w:lineRule="exact"/>
              <w:rPr>
                <w:color w:val="000000"/>
                <w:sz w:val="18"/>
                <w:szCs w:val="18"/>
              </w:rPr>
            </w:pPr>
            <w:r/>
            <w:bookmarkStart w:id="203" w:name="_Toc6440"/>
            <w:r>
              <w:rPr>
                <w:rFonts w:hint="eastAsia"/>
                <w:b/>
                <w:bCs/>
                <w:sz w:val="20"/>
                <w:szCs w:val="20"/>
                <w:lang w:bidi="ar"/>
              </w:rPr>
              <w:t xml:space="preserve">二十五、干部保健子系统</w:t>
            </w:r>
            <w:bookmarkEnd w:id="203"/>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gridSpan w:val="2"/>
            <w:tcW w:w="8412"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南通市干部保健子系统旨在重新改造程序代码以确保其与新架构兼容，支撑国产化环境中构建覆盖干部保健全周期服务的数字化平台，实现保健业务闭环管理与服务对象自助服务的有机融合。</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20</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电脑端-工作中台</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（1）干保办首页：包括保健单位数量、保健对象数量、重点保健对象数量等核心数据统计，信息发布、人员变更风险预警等待办事项推送；接收绿通、巡诊、疗养的消息通知，以及常用功能的快捷方式；</w:t>
            </w:r>
            <w:r>
              <w:rPr>
                <w:sz w:val="18"/>
                <w:szCs w:val="18"/>
              </w:rPr>
            </w:r>
            <w:r/>
          </w:p>
          <w:p>
            <w:pPr>
              <w:pStyle w:val="998"/>
              <w:spacing w:line="300" w:lineRule="exact"/>
              <w:widowControl/>
              <w:rPr>
                <w:sz w:val="18"/>
                <w:szCs w:val="18"/>
              </w:rPr>
            </w:pPr>
            <w:r>
              <w:rPr>
                <w:rFonts w:hint="eastAsia"/>
                <w:sz w:val="18"/>
                <w:szCs w:val="18"/>
              </w:rPr>
              <w:t xml:space="preserve">（2）体检中心首页：包括当年预约量、体检量、未体检量核心数据统计，团单、预警的待办事项推送、消息通知，以及跨机构的预约信息查询功能；</w:t>
            </w:r>
            <w:r>
              <w:rPr>
                <w:sz w:val="18"/>
                <w:szCs w:val="18"/>
              </w:rPr>
            </w:r>
            <w:r/>
          </w:p>
          <w:p>
            <w:pPr>
              <w:pStyle w:val="998"/>
              <w:spacing w:line="300" w:lineRule="exact"/>
              <w:widowControl/>
              <w:rPr>
                <w:color w:val="000000"/>
                <w:sz w:val="18"/>
                <w:szCs w:val="18"/>
              </w:rPr>
            </w:pPr>
            <w:r>
              <w:rPr>
                <w:rFonts w:hint="eastAsia"/>
                <w:sz w:val="18"/>
                <w:szCs w:val="18"/>
              </w:rPr>
              <w:t xml:space="preserve">（3）保健单位首页：包括保健对象、体检预约、体检率等核心数据统计、待办事项推送、消息通知以及快捷方式等功能；</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121</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电脑端-信息档案</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（1）保健</w:t>
            </w:r>
            <w:r>
              <w:rPr>
                <w:rFonts w:hint="eastAsia"/>
                <w:color w:val="000000"/>
                <w:sz w:val="18"/>
                <w:szCs w:val="18"/>
              </w:rPr>
              <w:t xml:space="preserve">对象：归集保健对象体检结果，并可以下载体检的PDF报告；绿通预约就诊记录；巡诊预约签到信息；疗养预约报名信息；对接全民平台，采集门诊、住院、检验检查信息；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（2）保健单位：以单位为纬度，归集保健对象，统计单位保健对象数量、重点保健对象数量，下钻科查看保健对象</w:t>
            </w:r>
            <w:r>
              <w:rPr>
                <w:rFonts w:hint="eastAsia"/>
                <w:sz w:val="18"/>
                <w:szCs w:val="18"/>
              </w:rPr>
              <w:t xml:space="preserve">明细，实现保健对象明细穿透；</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122</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电脑端-综合查询</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（1）预约记录：查询体检预约记录，包括预约时间、预约的体检中心、预约套餐、是否体检等信</w:t>
            </w:r>
            <w:r>
              <w:rPr>
                <w:rFonts w:hint="eastAsia"/>
                <w:color w:val="000000"/>
                <w:sz w:val="18"/>
                <w:szCs w:val="18"/>
              </w:rPr>
              <w:t xml:space="preserve">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（2）体检记录：查询体检检查结果，包括体检机构、体检时间、体检结果、异常指标、体检结论和总体建议，并可以下载体检的PDF报告；</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（3）绿色通道：查询绿色通道预约就诊情况，包括预约的医疗机构、时间、科室等信息；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（4）巡诊记录：查询巡诊预约情况，包括预约的活动名称、时间、专家等信息；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（5）疗养记录：查询疗养预约情况，包括报名的疗养活动、时间、报名表等信息；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（6）体检满意度：查询体检后的满意度评价情况，包括是否满意、联系方式、不满意的意见等；</w:t>
            </w:r>
            <w:r>
              <w:rPr>
                <w:color w:val="000000"/>
                <w:sz w:val="18"/>
                <w:szCs w:val="18"/>
              </w:rPr>
            </w:r>
            <w:r/>
          </w:p>
          <w:p>
            <w:pPr>
              <w:pStyle w:val="998"/>
              <w:spacing w:line="300" w:lineRule="exact"/>
              <w:widowControl/>
              <w:rPr>
                <w:sz w:val="18"/>
                <w:szCs w:val="18"/>
              </w:rPr>
            </w:pPr>
            <w:r>
              <w:rPr>
                <w:rFonts w:hint="eastAsia"/>
                <w:color w:val="000000"/>
                <w:sz w:val="18"/>
                <w:szCs w:val="18"/>
              </w:rPr>
              <w:t xml:space="preserve">（7）体检报告上传：上传PDF报告，</w:t>
            </w:r>
            <w:r>
              <w:rPr>
                <w:rFonts w:hint="eastAsia"/>
                <w:sz w:val="18"/>
                <w:szCs w:val="18"/>
              </w:rPr>
              <w:t xml:space="preserve">提供给机构的补传入口；</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123</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电脑端-人员管理</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（1）人员信息：查询保健对象信息，包括人员的基本信息、联系方式、可选套餐、可享受服</w:t>
            </w:r>
            <w:r>
              <w:rPr>
                <w:rFonts w:hint="eastAsia"/>
                <w:color w:val="000000"/>
                <w:sz w:val="18"/>
                <w:szCs w:val="18"/>
              </w:rPr>
              <w:t xml:space="preserve">务等，支持人员信息导出；</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（2）人员新增：提交新增人员信息，包括人员的姓名、证件号、所属单位、联系方式等；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（3）信息变更：变更人员的信息，包括证件号码、联系方式等；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（4）信息审批：对新增、变更申请进行审批，审批通过后更新人员底档信息；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（5）新增履历：查询人员的新增履历，包括新增人员的时间、基础信息等；</w:t>
            </w:r>
            <w:r>
              <w:rPr>
                <w:color w:val="000000"/>
                <w:sz w:val="18"/>
                <w:szCs w:val="18"/>
              </w:rPr>
            </w:r>
            <w:r/>
          </w:p>
          <w:p>
            <w:pPr>
              <w:pStyle w:val="998"/>
              <w:spacing w:line="300" w:lineRule="exact"/>
              <w:widowControl/>
              <w:rPr>
                <w:sz w:val="18"/>
                <w:szCs w:val="18"/>
              </w:rPr>
            </w:pPr>
            <w:r>
              <w:rPr>
                <w:rFonts w:hint="eastAsia"/>
                <w:color w:val="000000"/>
                <w:sz w:val="18"/>
                <w:szCs w:val="18"/>
              </w:rPr>
              <w:t xml:space="preserve">（6）变更履历：查询人员的变更履历，包括变更的时间、变更前变更后的信息对比；</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124</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电脑端-信息发布</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（1）信</w:t>
            </w:r>
            <w:r>
              <w:rPr>
                <w:rFonts w:hint="eastAsia"/>
                <w:color w:val="000000"/>
                <w:sz w:val="18"/>
                <w:szCs w:val="18"/>
              </w:rPr>
              <w:t xml:space="preserve">息发布：消息发布新增信息，包括知识点的标题、摘要、分类、内容、封面图片等信息；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（2）信息审核：对信息进行审核，通过审批的信息将发布到移动端，并支持已发布信息撤回；</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125</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电脑端-体检</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（1）预约查询：查询体检预约记录，包括预约时间、预约的体检中心、预约套餐、是否体检等信息；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（2）套餐设置：配置体检套餐，包括体检套餐的名称、体检项目明细等信息；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（3）体检设置：配置体检周期，用于约束体检的开展周期，非周期内个人用户无法进行体检预约；</w:t>
            </w:r>
            <w:r>
              <w:rPr>
                <w:color w:val="000000"/>
                <w:sz w:val="18"/>
                <w:szCs w:val="18"/>
              </w:rPr>
            </w:r>
            <w:r/>
          </w:p>
          <w:p>
            <w:pPr>
              <w:pStyle w:val="998"/>
              <w:spacing w:line="300" w:lineRule="exact"/>
              <w:widowControl/>
              <w:rPr>
                <w:sz w:val="18"/>
                <w:szCs w:val="18"/>
              </w:rPr>
            </w:pPr>
            <w:r>
              <w:rPr>
                <w:rFonts w:hint="eastAsia"/>
                <w:color w:val="000000"/>
                <w:sz w:val="18"/>
                <w:szCs w:val="18"/>
              </w:rPr>
              <w:t xml:space="preserve">（4）号源配置：未实现号</w:t>
            </w:r>
            <w:r>
              <w:rPr>
                <w:rFonts w:hint="eastAsia"/>
                <w:sz w:val="18"/>
                <w:szCs w:val="18"/>
              </w:rPr>
              <w:t xml:space="preserve">源对接的机构配置手机端各医院号源，支持批量配置和单日配置；</w:t>
            </w:r>
            <w:r>
              <w:rPr>
                <w:sz w:val="18"/>
                <w:szCs w:val="18"/>
              </w:rPr>
            </w:r>
            <w:r/>
          </w:p>
          <w:p>
            <w:pPr>
              <w:pStyle w:val="998"/>
              <w:spacing w:line="300" w:lineRule="exact"/>
              <w:widowControl/>
              <w:rPr>
                <w:color w:val="000000"/>
                <w:sz w:val="18"/>
                <w:szCs w:val="18"/>
              </w:rPr>
            </w:pPr>
            <w:r>
              <w:rPr>
                <w:rFonts w:hint="eastAsia"/>
                <w:sz w:val="18"/>
                <w:szCs w:val="18"/>
              </w:rPr>
              <w:t xml:space="preserve">（5）</w:t>
            </w:r>
            <w:r>
              <w:rPr>
                <w:rFonts w:hint="eastAsia"/>
                <w:color w:val="000000"/>
                <w:sz w:val="18"/>
                <w:szCs w:val="18"/>
              </w:rPr>
              <w:t xml:space="preserve">体检预约：用于体检机构和单位进行体检预约、预约取消、变更，可选择预约的机构、日期、套餐、备注等，单位提交的预约需机构进行审批；</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（6）团单审核：体检机构对单位提交的预约进行审批，通过则发送短信通知体检人员；</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（7）异地体检：登记异地体检信息，包括体检机构、体检报告等；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（8）体检中心信息：编辑发布体检中心的简介、地址、联系方式、门头照片等信息；</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126</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电脑端-绿色通道</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w:t>
            </w:r>
            <w:r>
              <w:rPr>
                <w:rFonts w:hint="eastAsia"/>
                <w:color w:val="000000"/>
                <w:sz w:val="18"/>
                <w:szCs w:val="18"/>
              </w:rPr>
              <w:t xml:space="preserve">预约就诊登记：预约绿通机构，并对预约进行就诊登记，包括预约的机构、科室、联系方式等；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（2）异地就诊：登记异地就诊信息，包括就诊</w:t>
            </w:r>
            <w:r>
              <w:rPr>
                <w:rFonts w:hint="eastAsia"/>
                <w:sz w:val="18"/>
                <w:szCs w:val="18"/>
              </w:rPr>
              <w:t xml:space="preserve">机构、诊断信息等；</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127</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电脑端-巡诊</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w:t>
            </w:r>
            <w:r>
              <w:rPr>
                <w:rFonts w:hint="eastAsia"/>
                <w:color w:val="000000"/>
                <w:sz w:val="18"/>
                <w:szCs w:val="18"/>
              </w:rPr>
              <w:t xml:space="preserve">巡诊设置：发布信息活动，包括巡诊主题、日期、巡诊项目、推送对象、简介、巡诊专家的个人信息等；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（2）巡诊预约：对巡诊活动进行预约，包括人员信息、联系方式、预约项目、一对一专家、预约时间等信息；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（3）巡诊登记：登记预约人员是否到场，用于后续的统计；</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b/>
                <w:bCs/>
                <w:color w:val="000000"/>
                <w:sz w:val="18"/>
                <w:szCs w:val="18"/>
              </w:rPr>
              <w:t xml:space="preserve">128</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电脑端-疗养</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w:t>
            </w:r>
            <w:r>
              <w:rPr>
                <w:rFonts w:hint="eastAsia"/>
                <w:color w:val="000000"/>
                <w:sz w:val="18"/>
                <w:szCs w:val="18"/>
              </w:rPr>
              <w:t xml:space="preserve">疗养设置：发布疗养活动的主题、报名日期、疗养简介，以及疗养地点、地域类型、疗养时间、疗养名额等信息；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（2）疗养预约：线上预约疗养活动，登记人员信息、预约的活动、是否携带家属、是否服从调剂等，支持电子报名表下载和上传预约表；</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（3）疗养审核：审批预约申请，通过则发送通知短信给登记人员；</w:t>
            </w:r>
            <w:r>
              <w:rPr>
                <w:color w:val="000000"/>
                <w:sz w:val="18"/>
                <w:szCs w:val="18"/>
              </w:rPr>
            </w:r>
            <w:r/>
          </w:p>
          <w:p>
            <w:pPr>
              <w:pStyle w:val="998"/>
              <w:spacing w:line="300" w:lineRule="exact"/>
              <w:widowControl/>
              <w:rPr>
                <w:sz w:val="18"/>
                <w:szCs w:val="18"/>
              </w:rPr>
            </w:pPr>
            <w:r>
              <w:rPr>
                <w:rFonts w:hint="eastAsia"/>
                <w:color w:val="000000"/>
                <w:sz w:val="18"/>
                <w:szCs w:val="18"/>
              </w:rPr>
              <w:t xml:space="preserve">（4）疗养登记：登记预约人员是否到场，用于后续的统计；</w:t>
            </w:r>
            <w:r>
              <w:rPr>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29</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电脑端-基础信息</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sz w:val="18"/>
                <w:szCs w:val="18"/>
              </w:rPr>
              <w:t xml:space="preserve">（1）</w:t>
            </w:r>
            <w:r>
              <w:rPr>
                <w:rFonts w:hint="eastAsia"/>
                <w:color w:val="000000"/>
                <w:sz w:val="18"/>
                <w:szCs w:val="18"/>
              </w:rPr>
              <w:t xml:space="preserve">保健单位：管理保健单位信息，包括可享受服务、地址、联系人等信息；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（2）体检中心：编辑发布体检中心的简介、地址、联系方式、门头照片等信息；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（3）首席健康顾问：管理首席健康顾问信息，包括姓名、联系方式、所属机构、专长、科室、简介等；</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（4）绿色通道：管理绿通机构信息，包括机构名称、机构标签、地址、简介、联系方式、环境照片等信息以及专家的姓名、职称、科室等信息；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（5）资料库：操作手册、常见问题线上材料发布；</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（6）敏感词库：敏感词库，用于信息发布时的拦截；</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（7）医保刷卡信息：对接医保平台，查询医保刷卡信息；</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30</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电脑端-数据统计</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（1）体检：统计体检情况，包括机构、预约量、体检量、完检量；</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31</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电脑端-风险预警</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（1）预警信息跟踪处置：已经完成体检，但超过7天没有收到体检结果、体检报告的进行风险预警；</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13</w:t>
            </w:r>
            <w:r>
              <w:rPr>
                <w:b/>
                <w:bCs/>
                <w:color w:val="000000"/>
                <w:sz w:val="18"/>
                <w:szCs w:val="18"/>
              </w:rPr>
              <w:t xml:space="preserve">2</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小程序-主界面</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sz w:val="18"/>
                <w:szCs w:val="18"/>
              </w:rPr>
            </w:pPr>
            <w:r>
              <w:rPr>
                <w:rFonts w:hint="eastAsia"/>
                <w:sz w:val="18"/>
                <w:szCs w:val="18"/>
              </w:rPr>
              <w:t xml:space="preserve"> 开发健康护航微信小程序，做好现有健康护航APP功能移植。</w:t>
            </w:r>
            <w:r>
              <w:rPr>
                <w:sz w:val="18"/>
                <w:szCs w:val="18"/>
              </w:rPr>
            </w:r>
            <w:r/>
          </w:p>
          <w:p>
            <w:pPr>
              <w:pStyle w:val="998"/>
              <w:spacing w:line="300" w:lineRule="exact"/>
              <w:widowControl/>
              <w:rPr>
                <w:color w:val="000000"/>
                <w:sz w:val="18"/>
                <w:szCs w:val="18"/>
              </w:rPr>
            </w:pPr>
            <w:r>
              <w:rPr>
                <w:rFonts w:hint="eastAsia"/>
                <w:sz w:val="18"/>
                <w:szCs w:val="18"/>
              </w:rPr>
              <w:t xml:space="preserve">（1）体检预约：预约体检，可以选择预约的体检机构、体检时间、套餐，也支持24小时前</w:t>
            </w:r>
            <w:r>
              <w:rPr>
                <w:rFonts w:hint="eastAsia"/>
                <w:color w:val="000000"/>
                <w:sz w:val="18"/>
                <w:szCs w:val="18"/>
              </w:rPr>
              <w:t xml:space="preserve">取消；</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（2）体检报告：查询体检结果，包括体检机构、体检时间、体检结果、异常指标、体检结论和总体建议，并可以下载体检的PDF报告；</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（3）医院特色：了解医院整体情况、地址、强势专业、专家团队等信息；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（4）健康日志：记录个人健康信息，登记收缩压等健康指标；</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（5）绿色通道：线上预约绿色通道，登记当前人员的个人信息、科室、时间等信息；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（6）健康档案：个人健康档案，包括体检结果，记录体检机构、体检时间、体检结果、异常指标、体检结论和总体建议；对接全民健康平台，采集门诊、住院、检验检查信息；</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（7）专家咨询：可通过名称、医疗机构、专业等信息查询专家，支持电话直拨；</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（8）巡诊预约：线上预约巡诊活动，登记个人信息，参加的活动、时间、以及预约的专家；</w:t>
            </w:r>
            <w:r>
              <w:rPr>
                <w:color w:val="000000"/>
                <w:sz w:val="18"/>
                <w:szCs w:val="18"/>
              </w:rPr>
            </w:r>
            <w:r/>
          </w:p>
          <w:p>
            <w:pPr>
              <w:pStyle w:val="998"/>
              <w:spacing w:line="300" w:lineRule="exact"/>
              <w:widowControl/>
              <w:rPr>
                <w:color w:val="000000"/>
                <w:sz w:val="18"/>
                <w:szCs w:val="18"/>
              </w:rPr>
            </w:pPr>
            <w:r>
              <w:rPr>
                <w:rFonts w:hint="eastAsia"/>
                <w:sz w:val="18"/>
                <w:szCs w:val="18"/>
              </w:rPr>
              <w:t xml:space="preserve">（9）保健</w:t>
            </w:r>
            <w:r>
              <w:rPr>
                <w:rFonts w:hint="eastAsia"/>
                <w:color w:val="000000"/>
                <w:sz w:val="18"/>
                <w:szCs w:val="18"/>
              </w:rPr>
              <w:t xml:space="preserve">知识</w:t>
            </w:r>
            <w:r>
              <w:rPr>
                <w:rFonts w:hint="eastAsia"/>
                <w:sz w:val="18"/>
                <w:szCs w:val="18"/>
              </w:rPr>
              <w:t xml:space="preserve">：查看平台发布的保健知识，同时支持收藏保健相关知识；</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33</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小程序-消息</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（1）接收体检</w:t>
            </w:r>
            <w:r>
              <w:rPr>
                <w:rFonts w:hint="eastAsia"/>
                <w:sz w:val="18"/>
                <w:szCs w:val="18"/>
              </w:rPr>
              <w:t xml:space="preserve">预约</w:t>
            </w:r>
            <w:r>
              <w:rPr>
                <w:rFonts w:hint="eastAsia"/>
                <w:color w:val="000000"/>
                <w:sz w:val="18"/>
                <w:szCs w:val="18"/>
              </w:rPr>
              <w:t xml:space="preserve">、绿通等业务的预约、取消等消息的通知；</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b/>
                <w:bCs/>
                <w:color w:val="000000"/>
                <w:sz w:val="18"/>
                <w:szCs w:val="18"/>
              </w:rPr>
            </w:pPr>
            <w:r>
              <w:rPr>
                <w:rFonts w:hint="eastAsia"/>
                <w:b/>
                <w:bCs/>
                <w:color w:val="000000"/>
                <w:sz w:val="18"/>
                <w:szCs w:val="18"/>
              </w:rPr>
              <w:t xml:space="preserve">1</w:t>
            </w:r>
            <w:r>
              <w:rPr>
                <w:b/>
                <w:bCs/>
                <w:color w:val="000000"/>
                <w:sz w:val="18"/>
                <w:szCs w:val="18"/>
              </w:rPr>
              <w:t xml:space="preserve">34</w:t>
            </w:r>
            <w:r>
              <w:rPr>
                <w:b/>
                <w:bCs/>
                <w:color w:val="000000"/>
                <w:sz w:val="18"/>
                <w:szCs w:val="18"/>
              </w:rPr>
            </w:r>
            <w:r/>
          </w:p>
        </w:tc>
        <w:tc>
          <w:tcPr>
            <w:tcW w:w="4196" w:type="dxa"/>
            <w:vAlign w:val="center"/>
            <w:textDirection w:val="lrTb"/>
            <w:noWrap w:val="false"/>
          </w:tcPr>
          <w:p>
            <w:pPr>
              <w:pStyle w:val="998"/>
              <w:spacing w:line="300" w:lineRule="exact"/>
              <w:rPr>
                <w:b/>
                <w:bCs/>
                <w:color w:val="000000"/>
                <w:sz w:val="18"/>
                <w:szCs w:val="18"/>
              </w:rPr>
            </w:pPr>
            <w:r>
              <w:rPr>
                <w:rFonts w:hint="eastAsia"/>
                <w:b/>
                <w:bCs/>
                <w:color w:val="000000"/>
                <w:sz w:val="18"/>
                <w:szCs w:val="18"/>
              </w:rPr>
              <w:t xml:space="preserve">小程序-我的</w:t>
            </w:r>
            <w:r>
              <w:rPr>
                <w:b/>
                <w:bCs/>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r>
        <w:trPr/>
        <w:tc>
          <w:tcPr>
            <w:tcW w:w="391" w:type="dxa"/>
            <w:vAlign w:val="center"/>
            <w:textDirection w:val="lrTb"/>
            <w:noWrap w:val="false"/>
          </w:tcPr>
          <w:p>
            <w:pPr>
              <w:pStyle w:val="998"/>
              <w:jc w:val="center"/>
              <w:spacing w:line="300" w:lineRule="exact"/>
              <w:rPr>
                <w:color w:val="000000"/>
                <w:sz w:val="18"/>
                <w:szCs w:val="18"/>
              </w:rPr>
            </w:pPr>
            <w:r>
              <w:rPr>
                <w:color w:val="000000"/>
                <w:sz w:val="18"/>
                <w:szCs w:val="18"/>
              </w:rPr>
            </w:r>
            <w:r/>
          </w:p>
        </w:tc>
        <w:tc>
          <w:tcPr>
            <w:tcW w:w="4196"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（1）我的预约：查询个人的体检、绿通、疗养等相关预约记录，支持对线上预约取消；</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（2）我的收藏：查询收藏的保健知识；</w:t>
            </w:r>
            <w:r>
              <w:rPr>
                <w:color w:val="000000"/>
                <w:sz w:val="18"/>
                <w:szCs w:val="18"/>
              </w:rPr>
            </w:r>
            <w:r/>
          </w:p>
        </w:tc>
        <w:tc>
          <w:tcPr>
            <w:tcW w:w="413" w:type="dxa"/>
            <w:vAlign w:val="center"/>
            <w:textDirection w:val="lrTb"/>
            <w:noWrap w:val="false"/>
          </w:tcPr>
          <w:p>
            <w:pPr>
              <w:pStyle w:val="998"/>
              <w:spacing w:line="300" w:lineRule="exact"/>
              <w:widowControl/>
              <w:rPr>
                <w:sz w:val="18"/>
                <w:szCs w:val="18"/>
              </w:rPr>
            </w:pPr>
            <w:r>
              <w:rPr>
                <w:sz w:val="18"/>
                <w:szCs w:val="18"/>
              </w:rPr>
            </w:r>
            <w:r/>
          </w:p>
        </w:tc>
      </w:tr>
    </w:tbl>
    <w:p>
      <w:pPr>
        <w:pStyle w:val="998"/>
      </w:pPr>
      <w:r/>
      <w:r/>
    </w:p>
    <w:p>
      <w:pPr>
        <w:pStyle w:val="998"/>
        <w:numPr>
          <w:ilvl w:val="0"/>
          <w:numId w:val="8"/>
        </w:numPr>
        <w:ind w:firstLine="482"/>
        <w:jc w:val="left"/>
        <w:spacing w:line="300" w:lineRule="auto"/>
        <w:widowControl/>
        <w:rPr>
          <w:rFonts w:ascii="宋体" w:hAnsi="宋体"/>
          <w:b/>
          <w:bCs/>
          <w:sz w:val="24"/>
          <w:szCs w:val="24"/>
        </w:rPr>
        <w:outlineLvl w:val="2"/>
      </w:pPr>
      <w:r/>
      <w:bookmarkStart w:id="204" w:name="_Hlk177732891"/>
      <w:r>
        <w:rPr>
          <w:rFonts w:hint="eastAsia" w:ascii="宋体" w:hAnsi="宋体"/>
          <w:b/>
          <w:bCs/>
          <w:sz w:val="24"/>
          <w:szCs w:val="24"/>
        </w:rPr>
        <w:t xml:space="preserve">全民健康信息平台适配改造要求</w:t>
      </w:r>
      <w:r>
        <w:rPr>
          <w:rFonts w:ascii="宋体" w:hAnsi="宋体"/>
          <w:b/>
          <w:bCs/>
          <w:sz w:val="24"/>
          <w:szCs w:val="24"/>
        </w:rPr>
      </w:r>
      <w:r/>
    </w:p>
    <w:tbl>
      <w:tblPr>
        <w:tblW w:w="499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7629"/>
        <w:gridCol w:w="774"/>
      </w:tblGrid>
      <w:tr>
        <w:trPr>
          <w:trHeight w:val="314"/>
        </w:trPr>
        <w:tc>
          <w:tcPr>
            <w:tcW w:w="416" w:type="dxa"/>
            <w:vAlign w:val="center"/>
            <w:textDirection w:val="lrTb"/>
            <w:noWrap w:val="false"/>
          </w:tcPr>
          <w:p>
            <w:pPr>
              <w:pStyle w:val="1116"/>
              <w:jc w:val="center"/>
              <w:spacing w:line="300" w:lineRule="exact"/>
              <w:rPr>
                <w:rFonts w:eastAsia="等线"/>
                <w:b/>
                <w:bCs/>
                <w:sz w:val="21"/>
                <w:szCs w:val="21"/>
              </w:rPr>
            </w:pPr>
            <w:r>
              <w:rPr>
                <w:rFonts w:eastAsia="等线"/>
                <w:b/>
                <w:bCs/>
                <w:sz w:val="21"/>
                <w:szCs w:val="21"/>
              </w:rPr>
              <w:t xml:space="preserve">序号</w:t>
            </w:r>
            <w:r>
              <w:rPr>
                <w:rFonts w:eastAsia="等线"/>
                <w:b/>
                <w:bCs/>
                <w:sz w:val="21"/>
                <w:szCs w:val="21"/>
              </w:rPr>
            </w:r>
            <w:r/>
          </w:p>
        </w:tc>
        <w:tc>
          <w:tcPr>
            <w:tcW w:w="4162" w:type="dxa"/>
            <w:vAlign w:val="center"/>
            <w:textDirection w:val="lrTb"/>
            <w:noWrap w:val="false"/>
          </w:tcPr>
          <w:p>
            <w:pPr>
              <w:pStyle w:val="1116"/>
              <w:jc w:val="center"/>
              <w:spacing w:line="300" w:lineRule="exact"/>
              <w:rPr>
                <w:rFonts w:eastAsia="等线"/>
                <w:b/>
                <w:bCs/>
                <w:sz w:val="21"/>
                <w:szCs w:val="21"/>
              </w:rPr>
            </w:pPr>
            <w:r>
              <w:rPr>
                <w:rFonts w:eastAsia="等线"/>
                <w:b/>
                <w:bCs/>
                <w:sz w:val="21"/>
                <w:szCs w:val="21"/>
              </w:rPr>
              <w:t xml:space="preserve">招标技术要求</w:t>
            </w:r>
            <w:r>
              <w:rPr>
                <w:rFonts w:eastAsia="等线"/>
                <w:b/>
                <w:bCs/>
                <w:sz w:val="21"/>
                <w:szCs w:val="21"/>
              </w:rPr>
            </w:r>
            <w:r/>
          </w:p>
        </w:tc>
        <w:tc>
          <w:tcPr>
            <w:tcW w:w="422" w:type="dxa"/>
            <w:vAlign w:val="center"/>
            <w:textDirection w:val="lrTb"/>
            <w:noWrap w:val="false"/>
          </w:tcPr>
          <w:p>
            <w:pPr>
              <w:pStyle w:val="1116"/>
              <w:jc w:val="center"/>
              <w:spacing w:line="300" w:lineRule="exact"/>
              <w:rPr>
                <w:rFonts w:eastAsia="等线"/>
                <w:b/>
                <w:bCs/>
                <w:sz w:val="21"/>
                <w:szCs w:val="21"/>
              </w:rPr>
            </w:pPr>
            <w:r>
              <w:rPr>
                <w:rFonts w:eastAsia="等线"/>
                <w:b/>
                <w:bCs/>
                <w:sz w:val="21"/>
                <w:szCs w:val="21"/>
              </w:rPr>
              <w:t xml:space="preserve">重要</w:t>
            </w:r>
            <w:r>
              <w:rPr>
                <w:rFonts w:eastAsia="等线"/>
                <w:b/>
                <w:bCs/>
                <w:sz w:val="21"/>
                <w:szCs w:val="21"/>
              </w:rPr>
            </w:r>
            <w:r/>
          </w:p>
        </w:tc>
      </w:tr>
      <w:tr>
        <w:trPr>
          <w:trHeight w:val="90"/>
        </w:trPr>
        <w:tc>
          <w:tcPr>
            <w:gridSpan w:val="2"/>
            <w:tcW w:w="8391"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一、数据库适配</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rHeight w:val="90"/>
        </w:trPr>
        <w:tc>
          <w:tcPr>
            <w:gridSpan w:val="2"/>
            <w:tcW w:w="8391" w:type="dxa"/>
            <w:vAlign w:val="center"/>
            <w:textDirection w:val="lrTb"/>
            <w:noWrap w:val="false"/>
          </w:tcPr>
          <w:p>
            <w:pPr>
              <w:pStyle w:val="998"/>
              <w:spacing w:line="300" w:lineRule="exact"/>
              <w:widowControl/>
              <w:rPr>
                <w:rFonts w:eastAsia="等线"/>
                <w:b/>
                <w:bCs/>
                <w:sz w:val="18"/>
                <w:szCs w:val="18"/>
              </w:rPr>
            </w:pPr>
            <w:r>
              <w:rPr>
                <w:rFonts w:hint="eastAsia"/>
                <w:color w:val="000000"/>
                <w:sz w:val="18"/>
                <w:szCs w:val="18"/>
              </w:rPr>
              <w:t xml:space="preserve">在国产化适配改造进程中，基础数据库适配是核心环节之一。数据库适配需在数据库软件完成国产化替换的过程中，针对数据迁移的顺畅性与适配调整的合理性开展的系统性工作，确保数据在新旧数据库环境中实现平稳过渡与有效衔接。</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rHeight w:val="154"/>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35</w:t>
            </w:r>
            <w:r>
              <w:rPr>
                <w:rFonts w:eastAsia="等线"/>
                <w:b/>
                <w:bCs/>
                <w:sz w:val="18"/>
                <w:szCs w:val="18"/>
              </w:rPr>
            </w:r>
            <w:r/>
          </w:p>
        </w:tc>
        <w:tc>
          <w:tcPr>
            <w:tcW w:w="4162" w:type="dxa"/>
            <w:vAlign w:val="center"/>
            <w:textDirection w:val="lrTb"/>
            <w:noWrap w:val="false"/>
          </w:tcPr>
          <w:p>
            <w:pPr>
              <w:pStyle w:val="998"/>
              <w:spacing w:line="300" w:lineRule="exact"/>
              <w:rPr>
                <w:rFonts w:eastAsia="等线"/>
                <w:b/>
                <w:bCs/>
                <w:sz w:val="18"/>
                <w:szCs w:val="18"/>
                <w:lang w:bidi="ar"/>
              </w:rPr>
            </w:pPr>
            <w:r>
              <w:rPr>
                <w:rFonts w:hint="eastAsia" w:eastAsia="等线"/>
                <w:b/>
                <w:bCs/>
                <w:sz w:val="18"/>
                <w:szCs w:val="18"/>
                <w:lang w:bidi="ar"/>
              </w:rPr>
              <w:t xml:space="preserve">业务系统数据库重构</w:t>
            </w:r>
            <w:r>
              <w:rPr>
                <w:rFonts w:eastAsia="等线"/>
                <w:b/>
                <w:bCs/>
                <w:sz w:val="18"/>
                <w:szCs w:val="18"/>
                <w:lang w:bidi="ar"/>
              </w:rPr>
            </w:r>
            <w:r/>
          </w:p>
        </w:tc>
        <w:tc>
          <w:tcPr>
            <w:tcW w:w="422" w:type="dxa"/>
            <w:vAlign w:val="center"/>
            <w:textDirection w:val="lrTb"/>
            <w:noWrap w:val="false"/>
          </w:tcPr>
          <w:p>
            <w:pPr>
              <w:pStyle w:val="998"/>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998"/>
              <w:spacing w:line="300" w:lineRule="exact"/>
              <w:widowControl/>
              <w:rPr>
                <w:rFonts w:eastAsia="等线"/>
                <w:color w:val="000000"/>
                <w:sz w:val="18"/>
                <w:szCs w:val="18"/>
                <w:lang w:val="nl-NL"/>
              </w:rPr>
            </w:pPr>
            <w:r>
              <w:rPr>
                <w:rFonts w:hint="eastAsia"/>
                <w:color w:val="000000"/>
                <w:sz w:val="18"/>
                <w:szCs w:val="18"/>
              </w:rPr>
              <w:t xml:space="preserve">业务系统数据库重构是数据库适配的重要前置环节，需围绕性能对比与结构优化展开。通过将原本部署的业务系统数据库，与迁移目标对应的国产业务系统数据库在运行性能上进行全面对比，明确两者在处理效率、承载能力等方面的差异，以此为依据对整个业务系统数据库的整体结构进行重构。</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rHeight w:val="201"/>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36</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lang w:val="nl-NL"/>
              </w:rPr>
            </w:pPr>
            <w:r>
              <w:rPr>
                <w:rFonts w:hint="eastAsia" w:eastAsia="等线"/>
                <w:b/>
                <w:bCs/>
                <w:sz w:val="18"/>
                <w:szCs w:val="18"/>
                <w:lang w:val="nl-NL"/>
              </w:rPr>
              <w:t xml:space="preserve">业务系统数据库适配</w:t>
            </w:r>
            <w:r>
              <w:rPr>
                <w:rFonts w:eastAsia="等线"/>
                <w:b/>
                <w:bCs/>
                <w:sz w:val="18"/>
                <w:szCs w:val="18"/>
                <w:lang w:val="nl-NL"/>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rPr>
            </w:pPr>
            <w:r>
              <w:rPr>
                <w:rFonts w:eastAsia="等线"/>
                <w:color w:val="000000"/>
                <w:sz w:val="18"/>
                <w:szCs w:val="18"/>
              </w:rPr>
            </w:r>
            <w:r/>
          </w:p>
        </w:tc>
        <w:tc>
          <w:tcPr>
            <w:tcW w:w="4162" w:type="dxa"/>
            <w:vAlign w:val="center"/>
            <w:textDirection w:val="lrTb"/>
            <w:noWrap w:val="false"/>
          </w:tcPr>
          <w:p>
            <w:pPr>
              <w:pStyle w:val="998"/>
              <w:spacing w:line="300" w:lineRule="exact"/>
              <w:widowControl/>
              <w:rPr>
                <w:rFonts w:eastAsia="等线"/>
                <w:color w:val="000000"/>
                <w:sz w:val="18"/>
                <w:szCs w:val="18"/>
              </w:rPr>
            </w:pPr>
            <w:r>
              <w:rPr>
                <w:rFonts w:hint="eastAsia"/>
                <w:color w:val="000000"/>
                <w:sz w:val="18"/>
                <w:szCs w:val="18"/>
              </w:rPr>
              <w:t xml:space="preserve">业务系统数据库适配需针对应用系统中与数据库交互的相关模块，进行针对性的适配改造，确保这些模块在国产数据库环境下，能够实现功能的正常发挥与高效运转，消除因数据库环境变化导致的功能适配问题，保障应用系统与国产数据库的协同工作能力。</w:t>
            </w:r>
            <w:r>
              <w:rPr>
                <w:rFonts w:eastAsia="等线"/>
                <w:color w:val="000000"/>
                <w:sz w:val="18"/>
                <w:szCs w:val="18"/>
              </w:rPr>
            </w:r>
            <w:r/>
          </w:p>
        </w:tc>
        <w:tc>
          <w:tcPr>
            <w:tcW w:w="422" w:type="dxa"/>
            <w:vAlign w:val="center"/>
            <w:textDirection w:val="lrTb"/>
            <w:noWrap w:val="false"/>
          </w:tcPr>
          <w:p>
            <w:pPr>
              <w:pStyle w:val="998"/>
              <w:spacing w:line="300" w:lineRule="exact"/>
              <w:rPr>
                <w:rFonts w:eastAsia="等线"/>
                <w:color w:val="000000"/>
                <w:sz w:val="18"/>
                <w:szCs w:val="18"/>
              </w:rPr>
            </w:pPr>
            <w:r>
              <w:rPr>
                <w:rFonts w:eastAsia="等线"/>
                <w:color w:val="000000"/>
                <w:sz w:val="18"/>
                <w:szCs w:val="18"/>
              </w:rPr>
            </w:r>
            <w:r/>
          </w:p>
        </w:tc>
      </w:tr>
      <w:tr>
        <w:trPr>
          <w:trHeight w:val="210"/>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37</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业务系统数据库同步</w:t>
            </w:r>
            <w:r>
              <w:rPr>
                <w:rFonts w:eastAsia="等线"/>
                <w:b/>
                <w:bCs/>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rPr>
            </w:pPr>
            <w:r>
              <w:rPr>
                <w:rFonts w:eastAsia="等线"/>
                <w:color w:val="000000"/>
                <w:sz w:val="18"/>
                <w:szCs w:val="18"/>
              </w:rPr>
            </w:r>
            <w:r/>
          </w:p>
        </w:tc>
        <w:tc>
          <w:tcPr>
            <w:tcW w:w="4162" w:type="dxa"/>
            <w:vAlign w:val="center"/>
            <w:textDirection w:val="lrTb"/>
            <w:noWrap w:val="false"/>
          </w:tcPr>
          <w:p>
            <w:pPr>
              <w:pStyle w:val="998"/>
              <w:spacing w:line="300" w:lineRule="exact"/>
              <w:widowControl/>
              <w:rPr>
                <w:rFonts w:eastAsia="等线"/>
                <w:color w:val="000000"/>
                <w:sz w:val="18"/>
                <w:szCs w:val="18"/>
                <w:lang w:val="nl-NL"/>
              </w:rPr>
            </w:pPr>
            <w:r>
              <w:rPr>
                <w:rFonts w:hint="eastAsia"/>
                <w:color w:val="000000"/>
                <w:sz w:val="18"/>
                <w:szCs w:val="18"/>
              </w:rPr>
              <w:t xml:space="preserve">业务系统数据库同步是保障数据库替换过程中数据连续性与准确性的关键步骤。在完成业务系统数据库重构后，需将原业务系统数据库中存储的各类数据，平稳迁移至目标业务系统的适配数据库中。在这一替代过渡过程中，核心目标是确保原数据库与目标适配数据库中的数据保持实时、准确的同步，避免因数据差异导致业务中断或数据丢失，保障业务系统在数据迁移期间仍能正常开展各项操作。</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rHeight w:val="11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38</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color w:val="000000"/>
                <w:sz w:val="18"/>
                <w:szCs w:val="18"/>
              </w:rPr>
            </w:pPr>
            <w:r>
              <w:rPr>
                <w:rFonts w:hint="eastAsia" w:eastAsia="等线"/>
                <w:b/>
                <w:bCs/>
                <w:color w:val="000000"/>
                <w:sz w:val="18"/>
                <w:szCs w:val="18"/>
              </w:rPr>
              <w:t xml:space="preserve">中心核心数据库重构</w:t>
            </w:r>
            <w:r>
              <w:rPr>
                <w:rFonts w:eastAsia="等线"/>
                <w:b/>
                <w:bCs/>
                <w:color w:val="000000"/>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rPr>
            </w:pPr>
            <w:r>
              <w:rPr>
                <w:rFonts w:eastAsia="等线"/>
                <w:color w:val="000000"/>
                <w:sz w:val="18"/>
                <w:szCs w:val="18"/>
              </w:rPr>
            </w:r>
            <w:r/>
          </w:p>
        </w:tc>
        <w:tc>
          <w:tcPr>
            <w:tcW w:w="4162" w:type="dxa"/>
            <w:vAlign w:val="center"/>
            <w:textDirection w:val="lrTb"/>
            <w:noWrap w:val="false"/>
          </w:tcPr>
          <w:p>
            <w:pPr>
              <w:pStyle w:val="998"/>
              <w:spacing w:line="300" w:lineRule="exact"/>
              <w:widowControl/>
              <w:rPr>
                <w:rFonts w:eastAsia="等线"/>
                <w:color w:val="000000"/>
                <w:sz w:val="18"/>
                <w:szCs w:val="18"/>
                <w:lang w:val="nl-NL"/>
              </w:rPr>
            </w:pPr>
            <w:r>
              <w:rPr>
                <w:rFonts w:hint="eastAsia"/>
                <w:color w:val="000000"/>
                <w:sz w:val="18"/>
                <w:szCs w:val="18"/>
              </w:rPr>
              <w:t xml:space="preserve">中心核心数据库作为平台数据存储与交互的核心枢纽，其重构工作需高度重视性能与结构的匹配度。需通过将原本部署的中心数据核心数据库，与迁移目标的国产中心数据核心数据库进行全面的性能对比，清晰掌握两者在数据处理能力、响应速度、稳定性等方面的特点与差异，进而以此为基础，对整个中心数据核心数据库的结构进行系统性重构。</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rHeight w:val="11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39</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color w:val="000000"/>
                <w:sz w:val="18"/>
                <w:szCs w:val="18"/>
              </w:rPr>
            </w:pPr>
            <w:r>
              <w:rPr>
                <w:rFonts w:hint="eastAsia" w:eastAsia="等线"/>
                <w:b/>
                <w:bCs/>
                <w:color w:val="000000"/>
                <w:sz w:val="18"/>
                <w:szCs w:val="18"/>
              </w:rPr>
              <w:t xml:space="preserve">中心核心数据库适配</w:t>
            </w:r>
            <w:r>
              <w:rPr>
                <w:rFonts w:eastAsia="等线"/>
                <w:b/>
                <w:bCs/>
                <w:color w:val="000000"/>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rPr>
            </w:pPr>
            <w:r>
              <w:rPr>
                <w:rFonts w:eastAsia="等线"/>
                <w:color w:val="000000"/>
                <w:sz w:val="18"/>
                <w:szCs w:val="18"/>
              </w:rPr>
            </w:r>
            <w:r/>
          </w:p>
        </w:tc>
        <w:tc>
          <w:tcPr>
            <w:tcW w:w="4162" w:type="dxa"/>
            <w:vAlign w:val="center"/>
            <w:textDirection w:val="lrTb"/>
            <w:noWrap w:val="false"/>
          </w:tcPr>
          <w:p>
            <w:pPr>
              <w:pStyle w:val="998"/>
              <w:spacing w:line="300" w:lineRule="exact"/>
              <w:widowControl/>
              <w:rPr>
                <w:rFonts w:eastAsia="等线"/>
                <w:color w:val="000000"/>
                <w:sz w:val="18"/>
                <w:szCs w:val="18"/>
                <w:lang w:val="nl-NL"/>
              </w:rPr>
            </w:pPr>
            <w:r>
              <w:rPr>
                <w:rFonts w:hint="eastAsia"/>
                <w:color w:val="000000"/>
                <w:sz w:val="18"/>
                <w:szCs w:val="18"/>
              </w:rPr>
              <w:t xml:space="preserve">中心核心数据库适配需在完成数据库重构的基础上推进。核心任务是将原中心数据核心数据库中存储的关键数据，平稳、准确地迁移至目标适配数据库中，确保迁移过程中核心数据不丢失、不损坏，同时保障迁移后中心核心数据库能够与整个平台的国产环境实现高效适配，为平台核心业务的稳定运行提供数据支撑。</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40</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color w:val="000000"/>
                <w:sz w:val="18"/>
                <w:szCs w:val="18"/>
              </w:rPr>
            </w:pPr>
            <w:r>
              <w:rPr>
                <w:rFonts w:hint="eastAsia" w:eastAsia="等线"/>
                <w:b/>
                <w:bCs/>
                <w:color w:val="000000"/>
                <w:sz w:val="18"/>
                <w:szCs w:val="18"/>
              </w:rPr>
              <w:t xml:space="preserve">数据库迁移</w:t>
            </w:r>
            <w:r>
              <w:rPr>
                <w:rFonts w:eastAsia="等线"/>
                <w:b/>
                <w:bCs/>
                <w:color w:val="000000"/>
                <w:sz w:val="18"/>
                <w:szCs w:val="18"/>
              </w:rPr>
            </w:r>
            <w:r/>
          </w:p>
        </w:tc>
        <w:tc>
          <w:tcPr>
            <w:tcW w:w="422" w:type="dxa"/>
            <w:vAlign w:val="center"/>
            <w:textDirection w:val="lrTb"/>
            <w:noWrap w:val="false"/>
          </w:tcPr>
          <w:p>
            <w:pPr>
              <w:pStyle w:val="998"/>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rPr>
            </w:pPr>
            <w:r>
              <w:rPr>
                <w:rFonts w:eastAsia="等线"/>
                <w:color w:val="000000"/>
                <w:sz w:val="18"/>
                <w:szCs w:val="18"/>
              </w:rPr>
            </w:r>
            <w:r/>
          </w:p>
        </w:tc>
        <w:tc>
          <w:tcPr>
            <w:tcW w:w="4162"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本次项目所涉系统目前运行于Oracle等非国产化数据库环境，迁移后系统的数据库为国产数据库，需确保系统数据无损耗的迁移。根据需求，数据迁移包括两大块内容。</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1、完成数据库向国产数据库的迁移。</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2、对应用进行修改，使其支持国产数据库。</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为了完成第一项工作，即数据迁移，需要进行如下步骤：</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1、在国产化服务器操作系统上部署国产数据库。</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2、分别根据国产数据库的数据导入格式要求，对原有数据库中的应用数据导出为指定格式。</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3、将数据导入国产数据库，并建立索引等数据库对象。</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4、对国产数据库数据完整性测试，保证数据完全。</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5、对国产数据库性能调优，并对其进行性能基准测试，保证数据库达到系统的性能要求。</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在数据库迁移完成后，需要将应用针对国产数据库进行适配。国产数据库和原有数据库的接口虽然都符合JDBC标准，但是具体编程细节有细微差别，所以需要针对国产数据库对代码进行重构。</w:t>
            </w:r>
            <w:r>
              <w:rPr>
                <w:color w:val="000000"/>
                <w:sz w:val="18"/>
                <w:szCs w:val="18"/>
              </w:rPr>
            </w:r>
            <w:r/>
          </w:p>
          <w:p>
            <w:pPr>
              <w:pStyle w:val="998"/>
              <w:spacing w:line="300" w:lineRule="exact"/>
              <w:widowControl/>
              <w:rPr>
                <w:rFonts w:eastAsia="等线"/>
                <w:color w:val="000000"/>
                <w:sz w:val="18"/>
                <w:szCs w:val="18"/>
                <w:lang w:val="nl-NL"/>
              </w:rPr>
            </w:pPr>
            <w:r>
              <w:rPr>
                <w:rFonts w:hint="eastAsia"/>
                <w:color w:val="000000"/>
                <w:sz w:val="18"/>
                <w:szCs w:val="18"/>
              </w:rPr>
              <w:t xml:space="preserve">由于迁移后需要支持国产数据库，所以需要对系统数据层的体系结构进行重新设计，目标是抽象出一个数据库无关层，使上层的数据库调用代码无需知道底层到底使用的是国产数据库，以此达到同时支持这两种数据库的目的。</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rPr>
            </w:pPr>
            <w:r>
              <w:rPr>
                <w:rFonts w:eastAsia="等线"/>
                <w:color w:val="000000"/>
                <w:sz w:val="18"/>
                <w:szCs w:val="18"/>
              </w:rPr>
            </w:r>
            <w:r/>
          </w:p>
        </w:tc>
      </w:tr>
      <w:tr>
        <w:trPr/>
        <w:tc>
          <w:tcPr>
            <w:gridSpan w:val="2"/>
            <w:tcW w:w="8391" w:type="dxa"/>
            <w:vAlign w:val="center"/>
            <w:textDirection w:val="lrTb"/>
            <w:noWrap w:val="false"/>
          </w:tcPr>
          <w:p>
            <w:pPr>
              <w:pStyle w:val="998"/>
              <w:jc w:val="center"/>
              <w:spacing w:line="300" w:lineRule="exact"/>
              <w:rPr>
                <w:rFonts w:eastAsia="等线"/>
                <w:color w:val="000000"/>
                <w:sz w:val="18"/>
                <w:szCs w:val="18"/>
                <w:lang w:val="nl-NL"/>
              </w:rPr>
            </w:pPr>
            <w:r>
              <w:rPr>
                <w:rFonts w:eastAsia="等线"/>
                <w:b/>
                <w:bCs/>
                <w:sz w:val="20"/>
                <w:szCs w:val="20"/>
              </w:rPr>
              <w:t xml:space="preserve">二、</w:t>
            </w:r>
            <w:r>
              <w:rPr>
                <w:rFonts w:hint="eastAsia" w:eastAsia="等线"/>
                <w:b/>
                <w:bCs/>
                <w:sz w:val="20"/>
                <w:szCs w:val="20"/>
                <w:lang w:bidi="ar"/>
              </w:rPr>
              <w:t xml:space="preserve">底层适配</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c>
          <w:tcPr>
            <w:gridSpan w:val="2"/>
            <w:tcW w:w="8391" w:type="dxa"/>
            <w:vAlign w:val="center"/>
            <w:textDirection w:val="lrTb"/>
            <w:noWrap w:val="false"/>
          </w:tcPr>
          <w:p>
            <w:pPr>
              <w:pStyle w:val="998"/>
              <w:spacing w:line="300" w:lineRule="exact"/>
              <w:widowControl/>
              <w:rPr>
                <w:rFonts w:eastAsia="等线"/>
                <w:b/>
                <w:bCs/>
                <w:sz w:val="20"/>
                <w:szCs w:val="20"/>
              </w:rPr>
            </w:pPr>
            <w:r>
              <w:rPr>
                <w:rFonts w:hint="eastAsia"/>
                <w:color w:val="000000"/>
                <w:sz w:val="18"/>
                <w:szCs w:val="18"/>
              </w:rPr>
              <w:t xml:space="preserve">开展底层适配建设能够强化自主基础软硬件的底层支撑能力，突破基础软件等核心技术瓶颈，加快数字产业化进程。</w:t>
            </w:r>
            <w:r>
              <w:rPr>
                <w:rFonts w:eastAsia="等线"/>
                <w:b/>
                <w:bCs/>
                <w:sz w:val="20"/>
                <w:szCs w:val="20"/>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rHeight w:val="241"/>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41</w:t>
            </w:r>
            <w:r>
              <w:rPr>
                <w:rFonts w:eastAsia="等线"/>
                <w:b/>
                <w:bCs/>
                <w:color w:val="000000"/>
                <w:sz w:val="18"/>
                <w:szCs w:val="18"/>
              </w:rPr>
            </w:r>
            <w:r/>
          </w:p>
        </w:tc>
        <w:tc>
          <w:tcPr>
            <w:tcW w:w="4162" w:type="dxa"/>
            <w:vAlign w:val="center"/>
            <w:textDirection w:val="lrTb"/>
            <w:noWrap w:val="false"/>
          </w:tcPr>
          <w:p>
            <w:pPr>
              <w:pStyle w:val="998"/>
              <w:spacing w:line="300" w:lineRule="exact"/>
              <w:widowControl/>
              <w:rPr>
                <w:rFonts w:eastAsia="等线"/>
                <w:b/>
                <w:bCs/>
                <w:color w:val="000000"/>
                <w:sz w:val="18"/>
                <w:szCs w:val="18"/>
              </w:rPr>
            </w:pPr>
            <w:r>
              <w:rPr>
                <w:rFonts w:hint="eastAsia" w:eastAsia="等线"/>
                <w:b/>
                <w:bCs/>
                <w:color w:val="000000"/>
                <w:sz w:val="18"/>
                <w:szCs w:val="18"/>
              </w:rPr>
              <w:t xml:space="preserve">底层基础软件适配</w:t>
            </w:r>
            <w:r>
              <w:rPr>
                <w:rFonts w:eastAsia="等线"/>
                <w:b/>
                <w:bCs/>
                <w:color w:val="000000"/>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rHeight w:val="241"/>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eastAsia="等线"/>
                <w:b/>
                <w:bCs/>
                <w:color w:val="000000"/>
                <w:sz w:val="18"/>
                <w:szCs w:val="18"/>
              </w:rPr>
            </w:r>
            <w:r/>
          </w:p>
        </w:tc>
        <w:tc>
          <w:tcPr>
            <w:tcW w:w="4162" w:type="dxa"/>
            <w:vAlign w:val="center"/>
            <w:textDirection w:val="lrTb"/>
            <w:noWrap w:val="false"/>
          </w:tcPr>
          <w:p>
            <w:pPr>
              <w:pStyle w:val="998"/>
              <w:spacing w:line="300" w:lineRule="exact"/>
              <w:widowControl/>
              <w:rPr>
                <w:rFonts w:eastAsia="等线"/>
                <w:b/>
                <w:bCs/>
                <w:sz w:val="18"/>
                <w:szCs w:val="18"/>
                <w:lang w:bidi="ar"/>
              </w:rPr>
            </w:pPr>
            <w:r>
              <w:rPr>
                <w:rFonts w:hint="eastAsia"/>
                <w:color w:val="000000"/>
                <w:sz w:val="18"/>
                <w:szCs w:val="18"/>
              </w:rPr>
              <w:t xml:space="preserve">需对redis、minio等国产系统适配、调试，涉及数据源配置、驱动类适配、缓存适配、java规范性适配等，适配国产基础软件。</w:t>
            </w:r>
            <w:r>
              <w:rPr>
                <w:rFonts w:eastAsia="等线"/>
                <w:b/>
                <w:bCs/>
                <w:sz w:val="18"/>
                <w:szCs w:val="18"/>
                <w:lang w:bidi="ar"/>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rHeight w:val="9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42</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color w:val="000000"/>
                <w:sz w:val="18"/>
                <w:szCs w:val="18"/>
              </w:rPr>
            </w:pPr>
            <w:r>
              <w:rPr>
                <w:rFonts w:hint="eastAsia" w:eastAsia="等线"/>
                <w:b/>
                <w:bCs/>
                <w:color w:val="000000"/>
                <w:sz w:val="18"/>
                <w:szCs w:val="18"/>
              </w:rPr>
              <w:t xml:space="preserve">接口标准对齐</w:t>
            </w:r>
            <w:r>
              <w:rPr>
                <w:rFonts w:eastAsia="等线"/>
                <w:b/>
                <w:bCs/>
                <w:color w:val="000000"/>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lang w:val="nl-NL"/>
              </w:rPr>
            </w:pPr>
            <w:r>
              <w:rPr>
                <w:rFonts w:eastAsia="等线"/>
                <w:color w:val="000000"/>
                <w:sz w:val="18"/>
                <w:szCs w:val="18"/>
                <w:lang w:val="nl-NL"/>
              </w:rPr>
            </w:r>
            <w:r/>
          </w:p>
        </w:tc>
        <w:tc>
          <w:tcPr>
            <w:tcW w:w="4162" w:type="dxa"/>
            <w:vAlign w:val="center"/>
            <w:textDirection w:val="lrTb"/>
            <w:noWrap w:val="false"/>
          </w:tcPr>
          <w:p>
            <w:pPr>
              <w:pStyle w:val="998"/>
              <w:spacing w:line="300" w:lineRule="exact"/>
              <w:rPr>
                <w:rFonts w:eastAsia="等线"/>
                <w:color w:val="000000"/>
                <w:sz w:val="18"/>
                <w:szCs w:val="18"/>
                <w:lang w:val="nl-NL"/>
              </w:rPr>
            </w:pPr>
            <w:r>
              <w:rPr>
                <w:rFonts w:hint="eastAsia"/>
                <w:color w:val="000000"/>
                <w:sz w:val="18"/>
                <w:szCs w:val="18"/>
              </w:rPr>
              <w:t xml:space="preserve">需严格遵循国家发布的各类相关标准，为接口设计、交互规范提供了权威依据。通过对齐统一标准，能够打破不同厂商产品间的技术壁垒，消除因接口不兼容导致的协作障碍。其核心目标是实现硬件设备、软件系统等不同产品的无缝对接，确保各组件在国产化适配体系内可顺畅交互、协同工作，最终保障整个平台在多厂商产品组合环境下的稳定运行。</w:t>
            </w:r>
            <w:r>
              <w:rPr>
                <w:color w:val="000000"/>
                <w:sz w:val="18"/>
                <w:szCs w:val="18"/>
              </w:rPr>
              <w:t xml:space="preserve">​</w:t>
            </w:r>
            <w:r>
              <w:rPr>
                <w:rFonts w:eastAsia="等线"/>
                <w:color w:val="000000"/>
                <w:sz w:val="18"/>
                <w:szCs w:val="18"/>
                <w:lang w:val="nl-NL"/>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43</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color w:val="000000"/>
                <w:sz w:val="18"/>
                <w:szCs w:val="18"/>
              </w:rPr>
            </w:pPr>
            <w:r>
              <w:rPr>
                <w:rFonts w:hint="eastAsia" w:eastAsia="等线"/>
                <w:b/>
                <w:bCs/>
                <w:color w:val="000000"/>
                <w:sz w:val="18"/>
                <w:szCs w:val="18"/>
              </w:rPr>
              <w:t xml:space="preserve">性能优化</w:t>
            </w:r>
            <w:r>
              <w:rPr>
                <w:rFonts w:eastAsia="等线"/>
                <w:b/>
                <w:bCs/>
                <w:color w:val="000000"/>
                <w:sz w:val="18"/>
                <w:szCs w:val="18"/>
              </w:rPr>
            </w:r>
            <w:r/>
          </w:p>
        </w:tc>
        <w:tc>
          <w:tcPr>
            <w:tcW w:w="422" w:type="dxa"/>
            <w:vAlign w:val="center"/>
            <w:textDirection w:val="lrTb"/>
            <w:noWrap w:val="false"/>
          </w:tcPr>
          <w:p>
            <w:pPr>
              <w:pStyle w:val="1116"/>
              <w:spacing w:line="300" w:lineRule="exact"/>
              <w:rPr>
                <w:rFonts w:eastAsia="等线"/>
                <w:color w:val="000000"/>
                <w:sz w:val="18"/>
                <w:szCs w:val="18"/>
              </w:rPr>
            </w:pPr>
            <w:r>
              <w:rPr>
                <w:rFonts w:eastAsia="等线"/>
                <w:color w:val="000000"/>
                <w:sz w:val="18"/>
                <w:szCs w:val="18"/>
              </w:rPr>
            </w:r>
            <w:r/>
          </w:p>
        </w:tc>
      </w:tr>
      <w:tr>
        <w:trPr/>
        <w:tc>
          <w:tcPr>
            <w:tcW w:w="416" w:type="dxa"/>
            <w:vAlign w:val="center"/>
            <w:textDirection w:val="lrTb"/>
            <w:noWrap w:val="false"/>
          </w:tcPr>
          <w:p>
            <w:pPr>
              <w:pStyle w:val="998"/>
              <w:jc w:val="center"/>
              <w:spacing w:line="300" w:lineRule="exact"/>
              <w:rPr>
                <w:rFonts w:eastAsia="等线"/>
                <w:color w:val="000000"/>
                <w:sz w:val="18"/>
                <w:szCs w:val="18"/>
                <w:lang w:val="nl-NL"/>
              </w:rPr>
            </w:pPr>
            <w:r>
              <w:rPr>
                <w:rFonts w:eastAsia="等线"/>
                <w:color w:val="000000"/>
                <w:sz w:val="18"/>
                <w:szCs w:val="18"/>
                <w:lang w:val="nl-NL"/>
              </w:rPr>
            </w:r>
            <w:r/>
          </w:p>
        </w:tc>
        <w:tc>
          <w:tcPr>
            <w:tcW w:w="4162"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性能优化是提升国产硬件环境下平台运行效率的核心环节，需聚焦国产芯片的独特架构开展工作。当前主流国产芯片与传统芯片存在指令集差异，若直接沿用原有代码，易出现性能损耗问题。因此，性能优化需针对性调整代码逻辑与运行机制，充分适配国产芯片的架构特性，最大化发挥硬件性能优势。通过代码优化，可有效规避因指令集不匹配导致的运算延迟、资源浪费等问题，确保平台在数据处理、任务执行等场景下保持高效稳定，满足业务对系统响应速度与处理能力的需求。</w:t>
            </w:r>
            <w:r>
              <w:rPr>
                <w:color w:val="000000"/>
                <w:sz w:val="18"/>
                <w:szCs w:val="18"/>
              </w:rPr>
            </w:r>
            <w:r/>
          </w:p>
        </w:tc>
        <w:tc>
          <w:tcPr>
            <w:tcW w:w="422" w:type="dxa"/>
            <w:vAlign w:val="center"/>
            <w:textDirection w:val="lrTb"/>
            <w:noWrap w:val="false"/>
          </w:tcPr>
          <w:p>
            <w:pPr>
              <w:pStyle w:val="998"/>
              <w:spacing w:line="300" w:lineRule="exact"/>
              <w:rPr>
                <w:rFonts w:eastAsia="等线"/>
                <w:color w:val="000000"/>
                <w:sz w:val="18"/>
                <w:szCs w:val="18"/>
                <w:lang w:val="nl-NL"/>
              </w:rPr>
            </w:pPr>
            <w:r>
              <w:rPr>
                <w:rFonts w:eastAsia="等线"/>
                <w:color w:val="000000"/>
                <w:sz w:val="18"/>
                <w:szCs w:val="18"/>
                <w:lang w:val="nl-NL"/>
              </w:rPr>
            </w:r>
            <w:r/>
          </w:p>
        </w:tc>
      </w:tr>
      <w:tr>
        <w:trPr>
          <w:trHeight w:val="9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44</w:t>
            </w:r>
            <w:r>
              <w:rPr>
                <w:rFonts w:eastAsia="等线"/>
                <w:b/>
                <w:bCs/>
                <w:color w:val="000000"/>
                <w:sz w:val="18"/>
                <w:szCs w:val="18"/>
              </w:rPr>
            </w:r>
            <w:r/>
          </w:p>
        </w:tc>
        <w:tc>
          <w:tcPr>
            <w:tcW w:w="4162" w:type="dxa"/>
            <w:vAlign w:val="center"/>
            <w:textDirection w:val="lrTb"/>
            <w:noWrap w:val="false"/>
          </w:tcPr>
          <w:p>
            <w:pPr>
              <w:pStyle w:val="998"/>
              <w:spacing w:line="300" w:lineRule="exact"/>
              <w:widowControl/>
              <w:rPr>
                <w:rFonts w:eastAsia="等线"/>
                <w:b/>
                <w:bCs/>
                <w:sz w:val="18"/>
                <w:szCs w:val="18"/>
                <w:lang w:bidi="ar"/>
              </w:rPr>
            </w:pPr>
            <w:r>
              <w:rPr>
                <w:rFonts w:hint="eastAsia" w:eastAsia="等线"/>
                <w:b/>
                <w:bCs/>
                <w:sz w:val="18"/>
                <w:szCs w:val="18"/>
                <w:lang w:bidi="ar"/>
              </w:rPr>
              <w:t xml:space="preserve">功能适配</w:t>
            </w:r>
            <w:r>
              <w:rPr>
                <w:rFonts w:eastAsia="等线"/>
                <w:b/>
                <w:bCs/>
                <w:sz w:val="18"/>
                <w:szCs w:val="18"/>
                <w:lang w:bidi="ar"/>
              </w:rPr>
            </w:r>
            <w:r/>
          </w:p>
        </w:tc>
        <w:tc>
          <w:tcPr>
            <w:tcW w:w="422" w:type="dxa"/>
            <w:vAlign w:val="center"/>
            <w:textDirection w:val="lrTb"/>
            <w:noWrap w:val="false"/>
          </w:tcPr>
          <w:p>
            <w:pPr>
              <w:pStyle w:val="998"/>
              <w:spacing w:line="300" w:lineRule="exact"/>
              <w:widowControl/>
              <w:rPr>
                <w:rFonts w:eastAsia="等线"/>
                <w:b/>
                <w:bCs/>
                <w:sz w:val="18"/>
                <w:szCs w:val="18"/>
                <w:lang w:bidi="ar"/>
              </w:rPr>
            </w:pPr>
            <w:r>
              <w:rPr>
                <w:rFonts w:eastAsia="等线"/>
                <w:b/>
                <w:bCs/>
                <w:sz w:val="18"/>
                <w:szCs w:val="18"/>
                <w:lang w:bidi="ar"/>
              </w:rPr>
            </w:r>
            <w:r/>
          </w:p>
        </w:tc>
      </w:tr>
      <w:tr>
        <w:trPr>
          <w:trHeight w:val="9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eastAsia="等线"/>
                <w:b/>
                <w:bCs/>
                <w:color w:val="000000"/>
                <w:sz w:val="18"/>
                <w:szCs w:val="18"/>
              </w:rPr>
            </w:r>
            <w:r/>
          </w:p>
        </w:tc>
        <w:tc>
          <w:tcPr>
            <w:tcW w:w="4162"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功能适配是确保平台在国产软件环境中正常运转的基础工作，需围绕应用软件与国产基础设施的兼容性展开。当前国产操作系统、数据库、中间件等核心软件，在技术架构与交互方式上与传统产品存在差异，直接影响应用软件功能实现。因此，需通过修改应用软件代码，解决 API 调用、数据格式等方面的兼容性问题，确保软件与国产操作系统的运行环境、数据库的数据存储与交互逻辑、中间件的服务支撑能力相匹配。最终实现应用软件在国产软件体系内功能完整、运行稳定，保障业务流程的顺畅开展。</w:t>
            </w:r>
            <w:r>
              <w:rPr>
                <w:color w:val="000000"/>
                <w:sz w:val="18"/>
                <w:szCs w:val="18"/>
              </w:rPr>
            </w:r>
            <w:r/>
          </w:p>
        </w:tc>
        <w:tc>
          <w:tcPr>
            <w:tcW w:w="422" w:type="dxa"/>
            <w:vAlign w:val="center"/>
            <w:textDirection w:val="lrTb"/>
            <w:noWrap w:val="false"/>
          </w:tcPr>
          <w:p>
            <w:pPr>
              <w:pStyle w:val="998"/>
              <w:spacing w:line="300" w:lineRule="exact"/>
              <w:widowControl/>
              <w:rPr>
                <w:rFonts w:eastAsia="等线"/>
                <w:b/>
                <w:bCs/>
                <w:sz w:val="18"/>
                <w:szCs w:val="18"/>
                <w:lang w:bidi="ar"/>
              </w:rPr>
            </w:pPr>
            <w:r>
              <w:rPr>
                <w:rFonts w:eastAsia="等线"/>
                <w:b/>
                <w:bCs/>
                <w:sz w:val="18"/>
                <w:szCs w:val="18"/>
                <w:lang w:bidi="ar"/>
              </w:rPr>
            </w:r>
            <w:r/>
          </w:p>
        </w:tc>
      </w:tr>
      <w:tr>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hint="eastAsia" w:eastAsia="等线"/>
                <w:b/>
                <w:bCs/>
                <w:color w:val="000000"/>
                <w:sz w:val="18"/>
                <w:szCs w:val="18"/>
              </w:rPr>
              <w:t xml:space="preserve">1</w:t>
            </w:r>
            <w:r>
              <w:rPr>
                <w:rFonts w:eastAsia="等线"/>
                <w:b/>
                <w:bCs/>
                <w:color w:val="000000"/>
                <w:sz w:val="18"/>
                <w:szCs w:val="18"/>
              </w:rPr>
              <w:t xml:space="preserve">45</w:t>
            </w:r>
            <w:r>
              <w:rPr>
                <w:rFonts w:eastAsia="等线"/>
                <w:b/>
                <w:bCs/>
                <w:color w:val="000000"/>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安全改造</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rHeight w:val="170"/>
        </w:trPr>
        <w:tc>
          <w:tcPr>
            <w:tcW w:w="416" w:type="dxa"/>
            <w:vAlign w:val="center"/>
            <w:textDirection w:val="lrTb"/>
            <w:noWrap w:val="false"/>
          </w:tcPr>
          <w:p>
            <w:pPr>
              <w:pStyle w:val="1116"/>
              <w:jc w:val="center"/>
              <w:spacing w:line="300" w:lineRule="exact"/>
              <w:rPr>
                <w:rFonts w:eastAsia="等线"/>
                <w:b/>
                <w:bCs/>
                <w:color w:val="000000"/>
                <w:sz w:val="18"/>
                <w:szCs w:val="18"/>
              </w:rPr>
            </w:pPr>
            <w:r>
              <w:rPr>
                <w:rFonts w:eastAsia="等线"/>
                <w:b/>
                <w:bCs/>
                <w:color w:val="000000"/>
                <w:sz w:val="18"/>
                <w:szCs w:val="18"/>
              </w:rPr>
            </w:r>
            <w:r/>
          </w:p>
        </w:tc>
        <w:tc>
          <w:tcPr>
            <w:tcW w:w="4162" w:type="dxa"/>
            <w:vAlign w:val="center"/>
            <w:textDirection w:val="lrTb"/>
            <w:noWrap w:val="false"/>
          </w:tcPr>
          <w:p>
            <w:pPr>
              <w:pStyle w:val="998"/>
              <w:spacing w:line="300" w:lineRule="exact"/>
              <w:widowControl/>
              <w:rPr>
                <w:rFonts w:eastAsia="等线"/>
                <w:b/>
                <w:bCs/>
                <w:sz w:val="18"/>
                <w:szCs w:val="18"/>
              </w:rPr>
            </w:pPr>
            <w:r>
              <w:rPr>
                <w:rFonts w:hint="eastAsia"/>
                <w:color w:val="000000"/>
                <w:sz w:val="18"/>
                <w:szCs w:val="18"/>
              </w:rPr>
              <w:t xml:space="preserve">安全改造是平台国产化适配改造中满足合规要求、保障数据安全的重要举措，需结合法律法规与业务实际需求推进。此项工作需以《数据安全法》《个人信息保护法》等法规为依据，针对业务系统的安全薄弱环节，开展数据脱敏、访问控制、审计日志等改造工作。通过数据脱敏保护敏感信息，借助访问控制限制非授权操作，依托审计日志实现操作追溯，构建全方位的安全防护体系。最终确保业务系统在数据收集、存储、使用等全流程符合法规要求，有效防范数据泄露、非法访问等安全风险，保障平台与用户数据安全。</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rHeight w:val="273"/>
        </w:trPr>
        <w:tc>
          <w:tcPr>
            <w:gridSpan w:val="3"/>
            <w:tcW w:w="9165" w:type="dxa"/>
            <w:vAlign w:val="center"/>
            <w:textDirection w:val="lrTb"/>
            <w:noWrap w:val="false"/>
          </w:tcPr>
          <w:p>
            <w:pPr>
              <w:pStyle w:val="1116"/>
              <w:jc w:val="center"/>
              <w:spacing w:line="300" w:lineRule="exact"/>
              <w:rPr>
                <w:rStyle w:val="1076"/>
                <w:rFonts w:eastAsia="等线"/>
                <w:b/>
                <w:bCs/>
                <w:sz w:val="18"/>
                <w:szCs w:val="18"/>
                <w:lang w:bidi="ar"/>
              </w:rPr>
            </w:pPr>
            <w:r>
              <w:rPr>
                <w:rStyle w:val="1076"/>
                <w:rFonts w:eastAsia="等线"/>
                <w:b/>
                <w:bCs/>
                <w:sz w:val="20"/>
                <w:szCs w:val="20"/>
                <w:lang w:bidi="ar"/>
              </w:rPr>
              <w:t xml:space="preserve">三、终端适配</w:t>
            </w:r>
            <w:r>
              <w:rPr>
                <w:rStyle w:val="1076"/>
                <w:rFonts w:eastAsia="等线"/>
                <w:b/>
                <w:bCs/>
                <w:sz w:val="18"/>
                <w:szCs w:val="18"/>
                <w:lang w:bidi="ar"/>
              </w:rPr>
            </w:r>
            <w:r/>
          </w:p>
        </w:tc>
      </w:tr>
      <w:tr>
        <w:trPr/>
        <w:tc>
          <w:tcPr>
            <w:gridSpan w:val="2"/>
            <w:tcW w:w="8391" w:type="dxa"/>
            <w:vAlign w:val="center"/>
            <w:textDirection w:val="lrTb"/>
            <w:noWrap w:val="false"/>
          </w:tcPr>
          <w:p>
            <w:pPr>
              <w:pStyle w:val="998"/>
              <w:spacing w:line="300" w:lineRule="exact"/>
              <w:widowControl/>
              <w:rPr>
                <w:rStyle w:val="1076"/>
                <w:rFonts w:eastAsia="等线"/>
                <w:b/>
                <w:bCs/>
                <w:sz w:val="18"/>
                <w:szCs w:val="18"/>
                <w:lang w:bidi="ar"/>
              </w:rPr>
            </w:pPr>
            <w:r>
              <w:rPr>
                <w:rFonts w:hint="eastAsia"/>
                <w:color w:val="000000"/>
                <w:sz w:val="18"/>
                <w:szCs w:val="18"/>
              </w:rPr>
              <w:t xml:space="preserve">开展终端适配建设，拓展基础软件的应用广度，强化自主终端适配能力，突破核心兼容技术瓶颈，加快数字产业化进程。</w:t>
            </w:r>
            <w:r>
              <w:rPr>
                <w:rStyle w:val="1076"/>
                <w:rFonts w:eastAsia="等线"/>
                <w:b/>
                <w:bCs/>
                <w:sz w:val="18"/>
                <w:szCs w:val="18"/>
                <w:lang w:bidi="ar"/>
              </w:rPr>
            </w:r>
            <w:r/>
          </w:p>
        </w:tc>
        <w:tc>
          <w:tcPr>
            <w:tcW w:w="422" w:type="dxa"/>
            <w:vAlign w:val="center"/>
            <w:textDirection w:val="lrTb"/>
            <w:noWrap w:val="false"/>
          </w:tcPr>
          <w:p>
            <w:pPr>
              <w:pStyle w:val="998"/>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46</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系统页面兼容适配</w:t>
            </w:r>
            <w:r>
              <w:rPr>
                <w:rFonts w:eastAsia="等线"/>
                <w:b/>
                <w:bCs/>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998"/>
              <w:spacing w:line="300" w:lineRule="exact"/>
              <w:widowControl/>
              <w:rPr>
                <w:rFonts w:eastAsia="等线"/>
                <w:sz w:val="18"/>
                <w:szCs w:val="18"/>
              </w:rPr>
            </w:pPr>
            <w:r>
              <w:rPr>
                <w:rFonts w:hint="eastAsia"/>
                <w:color w:val="000000"/>
                <w:sz w:val="18"/>
                <w:szCs w:val="18"/>
              </w:rPr>
              <w:t xml:space="preserve">从函数方法、样式访问和设置、DOM方法及对象应用、事件处理等方面进行前台页面的适配调整。</w:t>
            </w:r>
            <w:r>
              <w:rPr>
                <w:rFonts w:eastAsia="等线"/>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47</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脚本语法调整</w:t>
            </w:r>
            <w:r>
              <w:rPr>
                <w:rFonts w:eastAsia="等线"/>
                <w:b/>
                <w:bCs/>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998"/>
              <w:spacing w:line="300" w:lineRule="exact"/>
              <w:widowControl/>
              <w:rPr>
                <w:rFonts w:eastAsia="等线"/>
                <w:sz w:val="18"/>
                <w:szCs w:val="18"/>
              </w:rPr>
            </w:pPr>
            <w:r>
              <w:rPr>
                <w:rFonts w:hint="eastAsia"/>
                <w:color w:val="000000"/>
                <w:sz w:val="18"/>
                <w:szCs w:val="18"/>
              </w:rPr>
              <w:t xml:space="preserve">调整命令的语法、参数或者其他方面，以确保脚本可以在各种终端上正确运行。</w:t>
            </w:r>
            <w:r>
              <w:rPr>
                <w:rFonts w:eastAsia="等线"/>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48</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样式的调整</w:t>
            </w:r>
            <w:r>
              <w:rPr>
                <w:rFonts w:eastAsia="等线"/>
                <w:b/>
                <w:bCs/>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998"/>
              <w:spacing w:line="300" w:lineRule="exact"/>
              <w:widowControl/>
              <w:rPr>
                <w:color w:val="000000"/>
                <w:sz w:val="18"/>
                <w:szCs w:val="18"/>
              </w:rPr>
            </w:pPr>
            <w:r>
              <w:rPr>
                <w:rFonts w:hint="eastAsia"/>
                <w:color w:val="000000"/>
                <w:sz w:val="18"/>
                <w:szCs w:val="18"/>
              </w:rPr>
              <w:t xml:space="preserve">根据不同的终端环境来调整脚本的样式，以确保在各种终端上呈现良好的效果。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（1）插件/控件的替代或重构</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对脚本中使用的插件或控件进行替代或重构，以适应不同的终端环境。包括针对特定终端环境的插件、控件的选择，或者重新设计脚本，以确保在不同终端上都能够正常工作。</w:t>
            </w:r>
            <w:r>
              <w:rPr>
                <w:color w:val="000000"/>
                <w:sz w:val="18"/>
                <w:szCs w:val="18"/>
              </w:rPr>
            </w:r>
            <w:r/>
          </w:p>
          <w:p>
            <w:pPr>
              <w:pStyle w:val="998"/>
              <w:spacing w:line="300" w:lineRule="exact"/>
              <w:widowControl/>
              <w:rPr>
                <w:color w:val="000000"/>
                <w:sz w:val="18"/>
                <w:szCs w:val="18"/>
              </w:rPr>
            </w:pPr>
            <w:r>
              <w:rPr>
                <w:rFonts w:hint="eastAsia"/>
                <w:color w:val="000000"/>
                <w:sz w:val="18"/>
                <w:szCs w:val="18"/>
              </w:rPr>
              <w:t xml:space="preserve">（2）国产浏览器适配</w:t>
            </w:r>
            <w:r>
              <w:rPr>
                <w:color w:val="000000"/>
                <w:sz w:val="18"/>
                <w:szCs w:val="18"/>
              </w:rPr>
            </w:r>
            <w:r/>
          </w:p>
          <w:p>
            <w:pPr>
              <w:pStyle w:val="998"/>
              <w:spacing w:line="300" w:lineRule="exact"/>
              <w:widowControl/>
              <w:rPr>
                <w:rFonts w:eastAsia="等线"/>
                <w:sz w:val="18"/>
                <w:szCs w:val="18"/>
              </w:rPr>
            </w:pPr>
            <w:r>
              <w:rPr>
                <w:rFonts w:hint="eastAsia"/>
                <w:color w:val="000000"/>
                <w:sz w:val="18"/>
                <w:szCs w:val="18"/>
              </w:rPr>
              <w:t xml:space="preserve">在国产PC终端上，需基于国产浏览器对应用系统进行兼容适配，主要包括操作系统默认浏览器兼容性适配、国产浏览器与国产环境运行适配。解决操作系统默认浏览器和国产浏览器对于JavaScript与CSS的兼容问题。</w:t>
            </w:r>
            <w:r>
              <w:rPr>
                <w:rFonts w:eastAsia="等线"/>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gridSpan w:val="2"/>
            <w:tcW w:w="8391"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四、系统替换</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c>
          <w:tcPr>
            <w:gridSpan w:val="2"/>
            <w:tcW w:w="8391" w:type="dxa"/>
            <w:vAlign w:val="center"/>
            <w:textDirection w:val="lrTb"/>
            <w:noWrap w:val="false"/>
          </w:tcPr>
          <w:p>
            <w:pPr>
              <w:pStyle w:val="998"/>
              <w:spacing w:line="300" w:lineRule="exact"/>
              <w:widowControl/>
              <w:rPr>
                <w:rFonts w:eastAsia="等线"/>
                <w:b/>
                <w:bCs/>
                <w:sz w:val="18"/>
                <w:szCs w:val="18"/>
              </w:rPr>
            </w:pPr>
            <w:r>
              <w:rPr>
                <w:rFonts w:hint="eastAsia"/>
                <w:color w:val="000000"/>
                <w:sz w:val="18"/>
                <w:szCs w:val="18"/>
              </w:rPr>
              <w:t xml:space="preserve">在数据库适配及迁移之后，对新系统的国产化底层基础软件进行适配，并逐步实现系统替换，这一过程是整个国产化适配改造项目的关键收尾环节，关乎新系统能否稳定、高效地承接业务运转。系统替换并非一蹴而就，需按部就班、循序渐进地推进，其中新老系统并行、新系统替换、旧系统数据备份是三大核心步骤，每一步都紧密关联、环环相扣，对系统的平稳过渡起着决定性作用。</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rHeight w:val="303"/>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49</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新旧系统并行和替换</w:t>
            </w:r>
            <w:r>
              <w:rPr>
                <w:rFonts w:eastAsia="等线"/>
                <w:b/>
                <w:bCs/>
                <w:sz w:val="18"/>
                <w:szCs w:val="18"/>
              </w:rPr>
            </w:r>
            <w:r/>
          </w:p>
        </w:tc>
        <w:tc>
          <w:tcPr>
            <w:tcW w:w="422" w:type="dxa"/>
            <w:vAlign w:val="center"/>
            <w:textDirection w:val="lrTb"/>
            <w:noWrap w:val="false"/>
          </w:tcPr>
          <w:p>
            <w:pPr>
              <w:pStyle w:val="1116"/>
              <w:spacing w:line="300" w:lineRule="exact"/>
              <w:rPr>
                <w:rFonts w:eastAsia="等线"/>
                <w:b/>
                <w:bCs/>
                <w:sz w:val="18"/>
                <w:szCs w:val="18"/>
              </w:rPr>
            </w:pPr>
            <w:r>
              <w:rPr>
                <w:rFonts w:eastAsia="等线"/>
                <w:b/>
                <w:bCs/>
                <w:sz w:val="18"/>
                <w:szCs w:val="18"/>
              </w:rPr>
            </w:r>
            <w:r/>
          </w:p>
        </w:tc>
      </w:tr>
      <w:tr>
        <w:trPr/>
        <w:tc>
          <w:tcPr>
            <w:tcW w:w="416" w:type="dxa"/>
            <w:vAlign w:val="center"/>
            <w:textDirection w:val="lrTb"/>
            <w:noWrap w:val="false"/>
          </w:tcPr>
          <w:p>
            <w:pPr>
              <w:pStyle w:val="1116"/>
              <w:jc w:val="center"/>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1010"/>
              <w:ind w:firstLine="0"/>
              <w:spacing w:line="240" w:lineRule="auto"/>
              <w:rPr>
                <w:color w:val="000000"/>
                <w:sz w:val="18"/>
                <w:szCs w:val="18"/>
                <w:lang w:eastAsia="zh-CN"/>
              </w:rPr>
            </w:pPr>
            <w:r>
              <w:rPr>
                <w:rFonts w:hint="eastAsia"/>
                <w:color w:val="000000"/>
                <w:sz w:val="18"/>
                <w:szCs w:val="18"/>
                <w:lang w:eastAsia="zh-CN"/>
              </w:rPr>
              <w:t xml:space="preserve">（1）新旧系统并行</w:t>
            </w:r>
            <w:r>
              <w:rPr>
                <w:color w:val="000000"/>
                <w:sz w:val="18"/>
                <w:szCs w:val="18"/>
                <w:lang w:eastAsia="zh-CN"/>
              </w:rPr>
            </w:r>
            <w:r/>
          </w:p>
          <w:p>
            <w:pPr>
              <w:pStyle w:val="1010"/>
              <w:ind w:firstLine="0"/>
              <w:spacing w:line="240" w:lineRule="auto"/>
              <w:rPr>
                <w:color w:val="000000"/>
                <w:sz w:val="18"/>
                <w:szCs w:val="18"/>
                <w:lang w:eastAsia="zh-CN"/>
              </w:rPr>
            </w:pPr>
            <w:r>
              <w:rPr>
                <w:rFonts w:hint="eastAsia"/>
                <w:color w:val="000000"/>
                <w:sz w:val="18"/>
                <w:szCs w:val="18"/>
                <w:lang w:eastAsia="zh-CN"/>
              </w:rPr>
              <w:t xml:space="preserve">保障在新旧系统替换过程中，确保系统平稳运行，需做到（1）新老平台的数据库相同；（2）数据结构相同；（3）两个平台运行在不同的服务器内；（4）数据库不在同一个服务器；</w:t>
            </w:r>
            <w:r>
              <w:rPr>
                <w:color w:val="000000"/>
                <w:sz w:val="18"/>
                <w:szCs w:val="18"/>
                <w:lang w:eastAsia="zh-CN"/>
              </w:rPr>
            </w:r>
            <w:r/>
          </w:p>
          <w:p>
            <w:pPr>
              <w:pStyle w:val="1010"/>
              <w:ind w:firstLine="0"/>
              <w:spacing w:line="240" w:lineRule="auto"/>
              <w:rPr>
                <w:rFonts w:hint="eastAsia"/>
                <w:color w:val="000000"/>
                <w:sz w:val="18"/>
                <w:szCs w:val="18"/>
                <w:lang w:eastAsia="zh-CN"/>
              </w:rPr>
            </w:pPr>
            <w:r>
              <w:rPr>
                <w:rFonts w:hint="eastAsia"/>
                <w:color w:val="000000"/>
                <w:sz w:val="18"/>
                <w:szCs w:val="18"/>
                <w:lang w:eastAsia="zh-CN"/>
              </w:rPr>
              <w:t xml:space="preserve">（2）新旧系统替换</w:t>
            </w:r>
            <w:r>
              <w:rPr>
                <w:rFonts w:hint="eastAsia"/>
                <w:color w:val="000000"/>
                <w:sz w:val="18"/>
                <w:szCs w:val="18"/>
                <w:lang w:eastAsia="zh-CN"/>
              </w:rPr>
            </w:r>
            <w:r/>
          </w:p>
          <w:p>
            <w:pPr>
              <w:pStyle w:val="1010"/>
              <w:ind w:firstLine="0"/>
              <w:spacing w:line="240" w:lineRule="auto"/>
              <w:rPr>
                <w:rFonts w:hint="eastAsia"/>
                <w:lang w:eastAsia="zh-CN"/>
              </w:rPr>
            </w:pPr>
            <w:r>
              <w:rPr>
                <w:rFonts w:hint="eastAsia"/>
                <w:color w:val="000000"/>
                <w:sz w:val="18"/>
                <w:szCs w:val="18"/>
                <w:lang w:eastAsia="zh-CN"/>
              </w:rPr>
              <w:t xml:space="preserve">当新老系统并行一段时间，充分验证新系统的稳定性后，便进入新系统替换阶段。在此期间，需以稳健的节奏逐步推动新系统全面投入运行。在新系统运行稳定的前提下，果断替换旧系统，使其成为主系统承担起业务处理的重任。这一替换过程需要对新系统进行全方位、高频次的监测，涵盖系统性能、数据处理准确性、与各类业务的适配性等多个维度，只有新系统在各项关键指标上均表现出色，且能完全满足业务需求，方可顺利完成替换，让新系统主导整个业务流程，释放其在国产化架构下的潜在优势。</w:t>
            </w:r>
            <w:r>
              <w:rPr>
                <w:rFonts w:hint="eastAsia"/>
                <w:lang w:eastAsia="zh-CN"/>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jc w:val="center"/>
              <w:spacing w:line="300" w:lineRule="exact"/>
              <w:rPr>
                <w:rFonts w:eastAsia="等线"/>
                <w:b/>
                <w:bCs/>
                <w:sz w:val="18"/>
                <w:szCs w:val="18"/>
              </w:rPr>
            </w:pPr>
            <w:r>
              <w:rPr>
                <w:rFonts w:hint="eastAsia" w:eastAsia="等线"/>
                <w:b/>
                <w:bCs/>
                <w:sz w:val="18"/>
                <w:szCs w:val="18"/>
              </w:rPr>
              <w:t xml:space="preserve">1</w:t>
            </w:r>
            <w:r>
              <w:rPr>
                <w:rFonts w:eastAsia="等线"/>
                <w:b/>
                <w:bCs/>
                <w:sz w:val="18"/>
                <w:szCs w:val="18"/>
              </w:rPr>
              <w:t xml:space="preserve">50</w:t>
            </w:r>
            <w:r>
              <w:rPr>
                <w:rFonts w:eastAsia="等线"/>
                <w:b/>
                <w:bCs/>
                <w:sz w:val="18"/>
                <w:szCs w:val="18"/>
              </w:rPr>
            </w:r>
            <w:r/>
          </w:p>
        </w:tc>
        <w:tc>
          <w:tcPr>
            <w:tcW w:w="4162" w:type="dxa"/>
            <w:vAlign w:val="center"/>
            <w:textDirection w:val="lrTb"/>
            <w:noWrap w:val="false"/>
          </w:tcPr>
          <w:p>
            <w:pPr>
              <w:pStyle w:val="1116"/>
              <w:spacing w:line="300" w:lineRule="exact"/>
              <w:rPr>
                <w:rFonts w:eastAsia="等线"/>
                <w:b/>
                <w:bCs/>
                <w:sz w:val="18"/>
                <w:szCs w:val="18"/>
              </w:rPr>
            </w:pPr>
            <w:r>
              <w:rPr>
                <w:rFonts w:hint="eastAsia" w:eastAsia="等线"/>
                <w:b/>
                <w:bCs/>
                <w:sz w:val="18"/>
                <w:szCs w:val="18"/>
              </w:rPr>
              <w:t xml:space="preserve">旧系统数据备份</w:t>
            </w:r>
            <w:r>
              <w:rPr>
                <w:rFonts w:eastAsia="等线"/>
                <w:b/>
                <w:bCs/>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r>
        <w:trPr/>
        <w:tc>
          <w:tcPr>
            <w:tcW w:w="416" w:type="dxa"/>
            <w:vAlign w:val="center"/>
            <w:textDirection w:val="lrTb"/>
            <w:noWrap w:val="false"/>
          </w:tcPr>
          <w:p>
            <w:pPr>
              <w:pStyle w:val="1116"/>
              <w:spacing w:line="300" w:lineRule="exact"/>
              <w:rPr>
                <w:rFonts w:eastAsia="等线"/>
                <w:sz w:val="18"/>
                <w:szCs w:val="18"/>
              </w:rPr>
            </w:pPr>
            <w:r>
              <w:rPr>
                <w:rFonts w:eastAsia="等线"/>
                <w:sz w:val="18"/>
                <w:szCs w:val="18"/>
              </w:rPr>
            </w:r>
            <w:r/>
          </w:p>
        </w:tc>
        <w:tc>
          <w:tcPr>
            <w:tcW w:w="4162" w:type="dxa"/>
            <w:vAlign w:val="center"/>
            <w:textDirection w:val="lrTb"/>
            <w:noWrap w:val="false"/>
          </w:tcPr>
          <w:p>
            <w:pPr>
              <w:pStyle w:val="998"/>
              <w:spacing w:line="300" w:lineRule="exact"/>
              <w:widowControl/>
              <w:rPr>
                <w:rFonts w:eastAsia="等线"/>
                <w:sz w:val="18"/>
                <w:szCs w:val="18"/>
              </w:rPr>
            </w:pPr>
            <w:r>
              <w:rPr>
                <w:rFonts w:hint="eastAsia"/>
                <w:color w:val="000000"/>
                <w:sz w:val="18"/>
                <w:szCs w:val="18"/>
              </w:rPr>
              <w:t xml:space="preserve">在新系统成功成为主系统并稳步运行后，需对旧系统的运行数据做好全面、细致的备份工作，需制定严谨的数据备份策略，明确备份频率、备份方式以及数据存储位置等关键要素。同时，需定期对备份数据进行完整性和准确性校验，确保备份数据在需要时能够完整、无误地恢复，以备未来业务回溯、分析之需。</w:t>
            </w:r>
            <w:r>
              <w:rPr>
                <w:rFonts w:eastAsia="等线"/>
                <w:sz w:val="18"/>
                <w:szCs w:val="18"/>
              </w:rPr>
            </w:r>
            <w:r/>
          </w:p>
        </w:tc>
        <w:tc>
          <w:tcPr>
            <w:tcW w:w="422" w:type="dxa"/>
            <w:vAlign w:val="center"/>
            <w:textDirection w:val="lrTb"/>
            <w:noWrap w:val="false"/>
          </w:tcPr>
          <w:p>
            <w:pPr>
              <w:pStyle w:val="1116"/>
              <w:spacing w:line="300" w:lineRule="exact"/>
              <w:rPr>
                <w:rFonts w:eastAsia="等线"/>
                <w:sz w:val="18"/>
                <w:szCs w:val="18"/>
              </w:rPr>
            </w:pPr>
            <w:r>
              <w:rPr>
                <w:rFonts w:eastAsia="等线"/>
                <w:sz w:val="18"/>
                <w:szCs w:val="18"/>
              </w:rPr>
            </w:r>
            <w:r/>
          </w:p>
        </w:tc>
      </w:tr>
    </w:tbl>
    <w:p>
      <w:pPr>
        <w:pStyle w:val="998"/>
        <w:numPr>
          <w:ilvl w:val="0"/>
          <w:numId w:val="8"/>
        </w:numPr>
        <w:ind w:firstLine="480"/>
        <w:jc w:val="left"/>
        <w:spacing w:line="300" w:lineRule="auto"/>
        <w:widowControl/>
        <w:rPr>
          <w:rFonts w:eastAsia="等线"/>
          <w:b/>
          <w:bCs/>
          <w:sz w:val="24"/>
          <w:szCs w:val="24"/>
        </w:rPr>
        <w:outlineLvl w:val="2"/>
      </w:pPr>
      <w:r>
        <w:rPr>
          <w:rFonts w:eastAsia="等线"/>
          <w:b/>
          <w:bCs/>
          <w:sz w:val="24"/>
        </w:rPr>
        <w:br w:type="page" w:clear="all"/>
      </w:r>
      <w:bookmarkEnd w:id="204"/>
      <w:r>
        <w:rPr>
          <w:rFonts w:ascii="宋体" w:hAnsi="宋体"/>
          <w:b/>
          <w:bCs/>
          <w:sz w:val="24"/>
          <w:szCs w:val="24"/>
        </w:rPr>
        <w:t xml:space="preserve">数据库集群（2个节点）</w:t>
      </w:r>
      <w:r>
        <w:rPr>
          <w:rFonts w:eastAsia="等线"/>
          <w:b/>
          <w:bCs/>
          <w:sz w:val="24"/>
          <w:szCs w:val="24"/>
        </w:rPr>
      </w:r>
      <w:r/>
    </w:p>
    <w:tbl>
      <w:tblPr>
        <w:tblpPr w:horzAnchor="page" w:tblpXSpec="center" w:vertAnchor="text" w:tblpY="276"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7957"/>
      </w:tblGrid>
      <w:tr>
        <w:trPr>
          <w:trHeight w:val="333"/>
        </w:trPr>
        <w:tc>
          <w:tcPr>
            <w:tcW w:w="661" w:type="dxa"/>
            <w:vAlign w:val="top"/>
            <w:textDirection w:val="lrTb"/>
            <w:noWrap w:val="false"/>
          </w:tcPr>
          <w:p>
            <w:pPr>
              <w:pStyle w:val="1116"/>
              <w:jc w:val="left"/>
              <w:spacing w:line="280" w:lineRule="exact"/>
              <w:rPr>
                <w:rFonts w:ascii="宋体" w:hAnsi="宋体" w:eastAsia="宋体"/>
                <w:b/>
                <w:bCs/>
                <w:sz w:val="18"/>
                <w:szCs w:val="18"/>
              </w:rPr>
              <w:framePr w:vAnchor="text" w:hAnchor="page" w:xAlign="center" w:y="276"/>
            </w:pPr>
            <w:r>
              <w:rPr>
                <w:rFonts w:ascii="宋体" w:hAnsi="宋体" w:eastAsia="宋体"/>
                <w:b/>
                <w:bCs/>
                <w:sz w:val="18"/>
                <w:szCs w:val="18"/>
              </w:rPr>
              <w:t xml:space="preserve">序号</w:t>
            </w:r>
            <w:r>
              <w:rPr>
                <w:rFonts w:ascii="宋体" w:hAnsi="宋体" w:eastAsia="宋体"/>
                <w:b/>
                <w:bCs/>
                <w:sz w:val="18"/>
                <w:szCs w:val="18"/>
              </w:rPr>
            </w:r>
            <w:r/>
          </w:p>
        </w:tc>
        <w:tc>
          <w:tcPr>
            <w:tcW w:w="4339"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6"/>
            </w:pPr>
            <w:r>
              <w:rPr>
                <w:rFonts w:ascii="宋体" w:hAnsi="宋体" w:eastAsia="宋体"/>
                <w:b/>
                <w:bCs/>
                <w:sz w:val="18"/>
                <w:szCs w:val="18"/>
              </w:rPr>
              <w:t xml:space="preserve">招标技术要求</w:t>
            </w:r>
            <w:r>
              <w:rPr>
                <w:rFonts w:ascii="宋体" w:hAnsi="宋体" w:eastAsia="宋体"/>
                <w:b/>
                <w:bCs/>
                <w:sz w:val="18"/>
                <w:szCs w:val="18"/>
              </w:rPr>
            </w:r>
            <w:r/>
          </w:p>
        </w:tc>
      </w:tr>
      <w:tr>
        <w:trPr>
          <w:trHeight w:val="216"/>
        </w:trPr>
        <w:tc>
          <w:tcPr>
            <w:tcW w:w="661" w:type="dxa"/>
            <w:vAlign w:val="top"/>
            <w:textDirection w:val="lrTb"/>
            <w:noWrap w:val="false"/>
          </w:tcPr>
          <w:p>
            <w:pPr>
              <w:pStyle w:val="1116"/>
              <w:jc w:val="center"/>
              <w:spacing w:line="280" w:lineRule="exact"/>
              <w:rPr>
                <w:rFonts w:ascii="宋体" w:hAnsi="宋体" w:eastAsia="宋体"/>
                <w:sz w:val="18"/>
                <w:szCs w:val="18"/>
              </w:rPr>
              <w:framePr w:vAnchor="text" w:hAnchor="page" w:xAlign="center" w:y="276"/>
            </w:pPr>
            <w:r>
              <w:rPr>
                <w:rFonts w:ascii="宋体" w:hAnsi="宋体" w:eastAsia="宋体"/>
                <w:sz w:val="18"/>
                <w:szCs w:val="18"/>
              </w:rPr>
            </w:r>
            <w:r/>
          </w:p>
        </w:tc>
        <w:tc>
          <w:tcPr>
            <w:tcW w:w="4339" w:type="dxa"/>
            <w:vAlign w:val="top"/>
            <w:textDirection w:val="lrTb"/>
            <w:noWrap w:val="false"/>
          </w:tcPr>
          <w:p>
            <w:pPr>
              <w:pStyle w:val="1116"/>
              <w:spacing w:line="280" w:lineRule="exact"/>
              <w:rPr>
                <w:rFonts w:ascii="宋体" w:hAnsi="宋体" w:eastAsia="宋体"/>
                <w:b/>
                <w:bCs/>
                <w:sz w:val="18"/>
                <w:szCs w:val="18"/>
              </w:rPr>
              <w:framePr w:vAnchor="text" w:hAnchor="page" w:xAlign="center" w:y="276"/>
            </w:pPr>
            <w:r>
              <w:rPr>
                <w:rFonts w:ascii="宋体" w:hAnsi="宋体" w:eastAsia="宋体"/>
                <w:b/>
                <w:bCs/>
                <w:sz w:val="18"/>
                <w:szCs w:val="18"/>
                <w:lang w:bidi="ar"/>
              </w:rPr>
              <w:t xml:space="preserve">国产数据库集群软件</w:t>
            </w:r>
            <w:r>
              <w:rPr>
                <w:rFonts w:ascii="宋体" w:hAnsi="宋体" w:eastAsia="宋体"/>
                <w:b/>
                <w:bCs/>
                <w:sz w:val="18"/>
                <w:szCs w:val="18"/>
              </w:rPr>
            </w:r>
            <w:r/>
          </w:p>
        </w:tc>
      </w:tr>
      <w:tr>
        <w:trPr>
          <w:trHeight w:val="90"/>
        </w:trPr>
        <w:tc>
          <w:tcPr>
            <w:tcW w:w="661"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6"/>
            </w:pPr>
            <w:r>
              <w:rPr>
                <w:rFonts w:hint="eastAsia" w:ascii="宋体" w:hAnsi="宋体" w:eastAsia="宋体"/>
                <w:b/>
                <w:bCs/>
                <w:sz w:val="18"/>
                <w:szCs w:val="18"/>
              </w:rPr>
              <w:t xml:space="preserve">1</w:t>
            </w:r>
            <w:r>
              <w:rPr>
                <w:rFonts w:ascii="宋体" w:hAnsi="宋体" w:eastAsia="宋体"/>
                <w:b/>
                <w:bCs/>
                <w:sz w:val="18"/>
                <w:szCs w:val="18"/>
              </w:rPr>
              <w:t xml:space="preserve">51</w:t>
            </w:r>
            <w:r>
              <w:rPr>
                <w:rFonts w:ascii="宋体" w:hAnsi="宋体" w:eastAsia="宋体"/>
                <w:b/>
                <w:bCs/>
                <w:sz w:val="18"/>
                <w:szCs w:val="18"/>
              </w:rPr>
            </w:r>
            <w:r/>
          </w:p>
        </w:tc>
        <w:tc>
          <w:tcPr>
            <w:tcW w:w="4339" w:type="dxa"/>
            <w:vAlign w:val="center"/>
            <w:textDirection w:val="lrTb"/>
            <w:noWrap w:val="false"/>
          </w:tcPr>
          <w:p>
            <w:pPr>
              <w:pStyle w:val="998"/>
              <w:jc w:val="left"/>
              <w:spacing w:line="280" w:lineRule="exact"/>
              <w:widowControl/>
              <w:rPr>
                <w:rFonts w:ascii="宋体" w:hAnsi="宋体"/>
                <w:sz w:val="18"/>
                <w:szCs w:val="18"/>
                <w:lang w:bidi="ar"/>
              </w:rPr>
              <w:framePr w:vAnchor="text" w:hAnchor="page" w:xAlign="center" w:y="276"/>
              <w:outlineLvl w:val="1"/>
            </w:pPr>
            <w:r>
              <w:rPr>
                <w:rFonts w:ascii="宋体" w:hAnsi="宋体"/>
                <w:sz w:val="18"/>
                <w:szCs w:val="18"/>
                <w:lang w:val="nl-NL"/>
              </w:rPr>
              <w:t xml:space="preserve">集群软件与现有的</w:t>
            </w:r>
            <w:r>
              <w:rPr>
                <w:rFonts w:hint="eastAsia" w:ascii="宋体" w:hAnsi="宋体"/>
                <w:sz w:val="18"/>
                <w:szCs w:val="18"/>
                <w:lang w:val="nl-NL"/>
              </w:rPr>
              <w:t xml:space="preserve">市政务云提供的</w:t>
            </w:r>
            <w:r>
              <w:rPr>
                <w:rFonts w:ascii="宋体" w:hAnsi="宋体"/>
                <w:sz w:val="18"/>
                <w:szCs w:val="18"/>
                <w:lang w:val="nl-NL"/>
              </w:rPr>
              <w:t xml:space="preserve">数据库软件兼容。</w:t>
            </w:r>
            <w:r>
              <w:rPr>
                <w:rFonts w:ascii="宋体" w:hAnsi="宋体"/>
                <w:sz w:val="18"/>
                <w:szCs w:val="18"/>
                <w:lang w:bidi="ar"/>
              </w:rPr>
            </w:r>
            <w:r/>
          </w:p>
        </w:tc>
      </w:tr>
      <w:tr>
        <w:trPr/>
        <w:tc>
          <w:tcPr>
            <w:tcW w:w="661"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6"/>
            </w:pPr>
            <w:r>
              <w:rPr>
                <w:rFonts w:hint="eastAsia" w:ascii="宋体" w:hAnsi="宋体" w:eastAsia="宋体"/>
                <w:b/>
                <w:bCs/>
                <w:sz w:val="18"/>
                <w:szCs w:val="18"/>
              </w:rPr>
              <w:t xml:space="preserve">1</w:t>
            </w:r>
            <w:r>
              <w:rPr>
                <w:rFonts w:ascii="宋体" w:hAnsi="宋体" w:eastAsia="宋体"/>
                <w:b/>
                <w:bCs/>
                <w:sz w:val="18"/>
                <w:szCs w:val="18"/>
              </w:rPr>
              <w:t xml:space="preserve">52</w:t>
            </w:r>
            <w:r>
              <w:rPr>
                <w:rFonts w:ascii="宋体" w:hAnsi="宋体" w:eastAsia="宋体"/>
                <w:b/>
                <w:bCs/>
                <w:sz w:val="18"/>
                <w:szCs w:val="18"/>
              </w:rPr>
            </w:r>
            <w:r/>
          </w:p>
        </w:tc>
        <w:tc>
          <w:tcPr>
            <w:tcW w:w="4339" w:type="dxa"/>
            <w:vAlign w:val="center"/>
            <w:textDirection w:val="lrTb"/>
            <w:noWrap w:val="false"/>
          </w:tcPr>
          <w:p>
            <w:pPr>
              <w:pStyle w:val="998"/>
              <w:spacing w:line="280" w:lineRule="exact"/>
              <w:widowControl/>
              <w:rPr>
                <w:rFonts w:ascii="宋体" w:hAnsi="宋体"/>
                <w:sz w:val="18"/>
                <w:szCs w:val="18"/>
              </w:rPr>
              <w:framePr w:vAnchor="text" w:hAnchor="page" w:xAlign="center" w:y="276"/>
            </w:pPr>
            <w:r>
              <w:rPr>
                <w:rFonts w:ascii="宋体" w:hAnsi="宋体"/>
                <w:sz w:val="18"/>
                <w:szCs w:val="18"/>
                <w:lang w:bidi="ar"/>
              </w:rPr>
              <w:t xml:space="preserve">数据库集群支持读写分离，数据零丢失，支持主备集群，支持数据零丢失，即主库故障，备库自动切换为主库，且数据与原主库数据一致。</w:t>
            </w:r>
            <w:r>
              <w:rPr>
                <w:rFonts w:ascii="宋体" w:hAnsi="宋体"/>
                <w:sz w:val="18"/>
                <w:szCs w:val="18"/>
              </w:rPr>
            </w:r>
            <w:r/>
          </w:p>
        </w:tc>
      </w:tr>
      <w:tr>
        <w:trPr/>
        <w:tc>
          <w:tcPr>
            <w:tcW w:w="661"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6"/>
            </w:pPr>
            <w:r>
              <w:rPr>
                <w:rFonts w:ascii="宋体" w:hAnsi="宋体" w:eastAsia="宋体"/>
                <w:b/>
                <w:bCs/>
                <w:sz w:val="18"/>
                <w:szCs w:val="18"/>
              </w:rPr>
              <w:t xml:space="preserve">153</w:t>
            </w:r>
            <w:r>
              <w:rPr>
                <w:rFonts w:ascii="宋体" w:hAnsi="宋体" w:eastAsia="宋体"/>
                <w:b/>
                <w:bCs/>
                <w:sz w:val="18"/>
                <w:szCs w:val="18"/>
              </w:rPr>
            </w:r>
            <w:r/>
          </w:p>
        </w:tc>
        <w:tc>
          <w:tcPr>
            <w:tcW w:w="4339" w:type="dxa"/>
            <w:vAlign w:val="bottom"/>
            <w:textDirection w:val="lrTb"/>
            <w:noWrap w:val="false"/>
          </w:tcPr>
          <w:p>
            <w:pPr>
              <w:pStyle w:val="998"/>
              <w:spacing w:line="280" w:lineRule="exact"/>
              <w:widowControl/>
              <w:rPr>
                <w:rFonts w:ascii="宋体" w:hAnsi="宋体"/>
                <w:b/>
                <w:bCs/>
                <w:sz w:val="18"/>
                <w:szCs w:val="18"/>
                <w:lang w:bidi="ar"/>
              </w:rPr>
              <w:framePr w:vAnchor="text" w:hAnchor="page" w:xAlign="center" w:y="276"/>
            </w:pPr>
            <w:r>
              <w:rPr>
                <w:rFonts w:ascii="宋体" w:hAnsi="宋体"/>
                <w:sz w:val="18"/>
                <w:szCs w:val="18"/>
                <w:lang w:bidi="ar"/>
              </w:rPr>
              <w:t xml:space="preserve">数据库集群支持按照读写进行路由，并实现读、写的任务分发，系统自动实现写操作在主机、读操作在备机。</w:t>
            </w:r>
            <w:r>
              <w:rPr>
                <w:rFonts w:ascii="宋体" w:hAnsi="宋体"/>
                <w:b/>
                <w:bCs/>
                <w:sz w:val="18"/>
                <w:szCs w:val="18"/>
                <w:lang w:bidi="ar"/>
              </w:rPr>
            </w:r>
            <w:r/>
          </w:p>
        </w:tc>
      </w:tr>
      <w:tr>
        <w:trPr>
          <w:trHeight w:val="310"/>
        </w:trPr>
        <w:tc>
          <w:tcPr>
            <w:tcW w:w="661"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6"/>
            </w:pPr>
            <w:r>
              <w:rPr>
                <w:rFonts w:hint="eastAsia" w:ascii="宋体" w:hAnsi="宋体" w:eastAsia="宋体"/>
                <w:b/>
                <w:bCs/>
                <w:sz w:val="18"/>
                <w:szCs w:val="18"/>
              </w:rPr>
              <w:t xml:space="preserve">1</w:t>
            </w:r>
            <w:r>
              <w:rPr>
                <w:rFonts w:ascii="宋体" w:hAnsi="宋体" w:eastAsia="宋体"/>
                <w:b/>
                <w:bCs/>
                <w:sz w:val="18"/>
                <w:szCs w:val="18"/>
              </w:rPr>
              <w:t xml:space="preserve">54</w:t>
            </w:r>
            <w:r>
              <w:rPr>
                <w:rFonts w:ascii="宋体" w:hAnsi="宋体" w:eastAsia="宋体"/>
                <w:b/>
                <w:bCs/>
                <w:sz w:val="18"/>
                <w:szCs w:val="18"/>
              </w:rPr>
            </w:r>
            <w:r/>
          </w:p>
        </w:tc>
        <w:tc>
          <w:tcPr>
            <w:tcW w:w="4339"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6"/>
            </w:pPr>
            <w:r>
              <w:rPr>
                <w:rFonts w:ascii="宋体" w:hAnsi="宋体"/>
                <w:sz w:val="18"/>
                <w:szCs w:val="18"/>
                <w:lang w:bidi="ar"/>
              </w:rPr>
              <w:t xml:space="preserve">集群支持在多网络段IP组网环境中部署，并做到软件层的冗余，在多网段有大部分故障的场景下，仍可以找寻可用的网络进行通信，而不会触发集群间的故障转移。</w:t>
            </w:r>
            <w:r>
              <w:rPr>
                <w:rFonts w:ascii="宋体" w:hAnsi="宋体"/>
                <w:sz w:val="18"/>
                <w:szCs w:val="18"/>
                <w:lang w:bidi="ar"/>
              </w:rPr>
            </w:r>
            <w:r/>
          </w:p>
        </w:tc>
      </w:tr>
      <w:tr>
        <w:trPr/>
        <w:tc>
          <w:tcPr>
            <w:tcW w:w="661" w:type="dxa"/>
            <w:vAlign w:val="top"/>
            <w:textDirection w:val="lrTb"/>
            <w:noWrap w:val="false"/>
          </w:tcPr>
          <w:p>
            <w:pPr>
              <w:pStyle w:val="1116"/>
              <w:jc w:val="center"/>
              <w:spacing w:line="280" w:lineRule="exact"/>
              <w:rPr>
                <w:rFonts w:ascii="宋体" w:hAnsi="宋体" w:eastAsia="宋体"/>
                <w:b/>
                <w:bCs/>
                <w:sz w:val="18"/>
                <w:szCs w:val="18"/>
                <w:lang w:bidi="ar"/>
              </w:rPr>
              <w:framePr w:vAnchor="text" w:hAnchor="page" w:xAlign="center" w:y="276"/>
            </w:pPr>
            <w:r>
              <w:rPr>
                <w:rFonts w:hint="eastAsia" w:ascii="宋体" w:hAnsi="宋体" w:eastAsia="宋体"/>
                <w:b/>
                <w:bCs/>
                <w:sz w:val="18"/>
                <w:szCs w:val="18"/>
              </w:rPr>
              <w:t xml:space="preserve">1</w:t>
            </w:r>
            <w:r>
              <w:rPr>
                <w:rFonts w:ascii="宋体" w:hAnsi="宋体" w:eastAsia="宋体"/>
                <w:b/>
                <w:bCs/>
                <w:sz w:val="18"/>
                <w:szCs w:val="18"/>
              </w:rPr>
              <w:t xml:space="preserve">55</w:t>
            </w:r>
            <w:r>
              <w:rPr>
                <w:rFonts w:ascii="宋体" w:hAnsi="宋体" w:eastAsia="宋体"/>
                <w:b/>
                <w:bCs/>
                <w:sz w:val="18"/>
                <w:szCs w:val="18"/>
                <w:lang w:bidi="ar"/>
              </w:rPr>
            </w:r>
            <w:r/>
          </w:p>
        </w:tc>
        <w:tc>
          <w:tcPr>
            <w:tcW w:w="4339" w:type="dxa"/>
            <w:vAlign w:val="top"/>
            <w:textDirection w:val="lrTb"/>
            <w:noWrap w:val="false"/>
          </w:tcPr>
          <w:p>
            <w:pPr>
              <w:pStyle w:val="1116"/>
              <w:spacing w:line="280" w:lineRule="exact"/>
              <w:rPr>
                <w:rFonts w:ascii="宋体" w:hAnsi="宋体" w:eastAsia="宋体"/>
                <w:sz w:val="18"/>
                <w:szCs w:val="18"/>
                <w:lang w:bidi="ar"/>
              </w:rPr>
              <w:framePr w:vAnchor="text" w:hAnchor="page" w:xAlign="center" w:y="276"/>
            </w:pPr>
            <w:r>
              <w:rPr>
                <w:rFonts w:ascii="宋体" w:hAnsi="宋体" w:eastAsia="宋体"/>
                <w:sz w:val="18"/>
                <w:szCs w:val="18"/>
                <w:lang w:bidi="ar"/>
              </w:rPr>
              <w:t xml:space="preserve">支持2节点主备集群做自动故障转移，不依赖第三方节点部署额外程序或共享存储。</w:t>
            </w:r>
            <w:r>
              <w:rPr>
                <w:rFonts w:ascii="宋体" w:hAnsi="宋体" w:eastAsia="宋体"/>
                <w:sz w:val="18"/>
                <w:szCs w:val="18"/>
                <w:lang w:bidi="ar"/>
              </w:rPr>
            </w:r>
            <w:r/>
          </w:p>
        </w:tc>
      </w:tr>
    </w:tbl>
    <w:p>
      <w:pPr>
        <w:pStyle w:val="998"/>
        <w:numPr>
          <w:ilvl w:val="0"/>
          <w:numId w:val="8"/>
        </w:numPr>
        <w:ind w:firstLine="482"/>
        <w:jc w:val="left"/>
        <w:spacing w:line="300" w:lineRule="auto"/>
        <w:widowControl/>
        <w:rPr>
          <w:rFonts w:ascii="宋体" w:hAnsi="宋体"/>
          <w:b/>
          <w:bCs/>
          <w:sz w:val="24"/>
          <w:szCs w:val="24"/>
        </w:rPr>
        <w:outlineLvl w:val="2"/>
      </w:pPr>
      <w:r/>
      <w:bookmarkStart w:id="205" w:name="OLE_LINK10"/>
      <w:r>
        <w:rPr>
          <w:rFonts w:hint="eastAsia" w:ascii="宋体" w:hAnsi="宋体"/>
          <w:b/>
          <w:bCs/>
          <w:sz w:val="24"/>
          <w:szCs w:val="24"/>
        </w:rPr>
        <w:t xml:space="preserve">风险评估</w:t>
      </w:r>
      <w:r>
        <w:rPr>
          <w:rFonts w:ascii="宋体" w:hAnsi="宋体"/>
          <w:b/>
          <w:bCs/>
          <w:sz w:val="24"/>
          <w:szCs w:val="24"/>
        </w:rPr>
      </w:r>
      <w:r/>
    </w:p>
    <w:tbl>
      <w:tblPr>
        <w:tblpPr w:horzAnchor="page" w:tblpXSpec="center" w:vertAnchor="text" w:tblpY="27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7972"/>
      </w:tblGrid>
      <w:tr>
        <w:trPr>
          <w:trHeight w:val="314"/>
        </w:trPr>
        <w:tc>
          <w:tcPr>
            <w:tcW w:w="653" w:type="dxa"/>
            <w:vAlign w:val="top"/>
            <w:textDirection w:val="lrTb"/>
            <w:noWrap w:val="false"/>
          </w:tcPr>
          <w:p>
            <w:pPr>
              <w:pStyle w:val="1116"/>
              <w:jc w:val="left"/>
              <w:spacing w:line="280" w:lineRule="exact"/>
              <w:rPr>
                <w:rFonts w:ascii="宋体" w:hAnsi="宋体" w:eastAsia="宋体"/>
                <w:b/>
                <w:bCs/>
                <w:sz w:val="18"/>
                <w:szCs w:val="18"/>
              </w:rPr>
              <w:framePr w:vAnchor="text" w:hAnchor="page" w:xAlign="center" w:y="271"/>
            </w:pPr>
            <w:r/>
            <w:bookmarkEnd w:id="205"/>
            <w:r>
              <w:rPr>
                <w:rFonts w:ascii="宋体" w:hAnsi="宋体" w:eastAsia="宋体"/>
                <w:b/>
                <w:bCs/>
                <w:sz w:val="18"/>
                <w:szCs w:val="18"/>
              </w:rPr>
              <w:t xml:space="preserve">序号</w:t>
            </w:r>
            <w:r>
              <w:rPr>
                <w:rFonts w:ascii="宋体" w:hAnsi="宋体" w:eastAsia="宋体"/>
                <w:b/>
                <w:bCs/>
                <w:sz w:val="18"/>
                <w:szCs w:val="18"/>
              </w:rPr>
            </w:r>
            <w:r/>
          </w:p>
        </w:tc>
        <w:tc>
          <w:tcPr>
            <w:tcW w:w="4347"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ascii="宋体" w:hAnsi="宋体" w:eastAsia="宋体"/>
                <w:b/>
                <w:bCs/>
                <w:sz w:val="18"/>
                <w:szCs w:val="18"/>
              </w:rPr>
              <w:t xml:space="preserve">招标技术要求</w:t>
            </w:r>
            <w:r>
              <w:rPr>
                <w:rFonts w:ascii="宋体" w:hAnsi="宋体" w:eastAsia="宋体"/>
                <w:b/>
                <w:bCs/>
                <w:sz w:val="18"/>
                <w:szCs w:val="18"/>
              </w:rPr>
            </w:r>
            <w:r/>
          </w:p>
        </w:tc>
      </w:tr>
      <w:tr>
        <w:trPr>
          <w:trHeight w:val="216"/>
        </w:trPr>
        <w:tc>
          <w:tcPr>
            <w:tcW w:w="653" w:type="dxa"/>
            <w:vAlign w:val="top"/>
            <w:textDirection w:val="lrTb"/>
            <w:noWrap w:val="false"/>
          </w:tcPr>
          <w:p>
            <w:pPr>
              <w:pStyle w:val="1116"/>
              <w:jc w:val="center"/>
              <w:spacing w:line="280" w:lineRule="exact"/>
              <w:rPr>
                <w:rFonts w:ascii="宋体" w:hAnsi="宋体" w:eastAsia="宋体"/>
                <w:sz w:val="18"/>
                <w:szCs w:val="18"/>
              </w:rPr>
              <w:framePr w:vAnchor="text" w:hAnchor="page" w:xAlign="center" w:y="271"/>
            </w:pPr>
            <w:r>
              <w:rPr>
                <w:rFonts w:ascii="宋体" w:hAnsi="宋体" w:eastAsia="宋体"/>
                <w:sz w:val="18"/>
                <w:szCs w:val="18"/>
              </w:rPr>
            </w:r>
            <w:r/>
          </w:p>
        </w:tc>
        <w:tc>
          <w:tcPr>
            <w:tcW w:w="4347" w:type="dxa"/>
            <w:vAlign w:val="top"/>
            <w:textDirection w:val="lrTb"/>
            <w:noWrap w:val="false"/>
          </w:tcPr>
          <w:p>
            <w:pPr>
              <w:pStyle w:val="1116"/>
              <w:spacing w:line="280" w:lineRule="exact"/>
              <w:rPr>
                <w:rFonts w:ascii="宋体" w:hAnsi="宋体" w:eastAsia="宋体"/>
                <w:b/>
                <w:bCs/>
                <w:sz w:val="18"/>
                <w:szCs w:val="18"/>
              </w:rPr>
              <w:framePr w:vAnchor="text" w:hAnchor="page" w:xAlign="center" w:y="271"/>
            </w:pPr>
            <w:r>
              <w:rPr>
                <w:rFonts w:ascii="宋体" w:hAnsi="宋体" w:eastAsia="宋体"/>
                <w:b/>
                <w:bCs/>
                <w:sz w:val="18"/>
                <w:szCs w:val="18"/>
                <w:lang w:bidi="ar"/>
              </w:rPr>
              <w:t xml:space="preserve">评估内容</w:t>
            </w:r>
            <w:r>
              <w:rPr>
                <w:rFonts w:ascii="宋体" w:hAnsi="宋体" w:eastAsia="宋体"/>
                <w:sz w:val="18"/>
                <w:szCs w:val="18"/>
                <w:lang w:bidi="ar"/>
              </w:rPr>
              <w:t xml:space="preserve">（评估过程中需至少包含以下内容）</w:t>
            </w:r>
            <w:r>
              <w:rPr>
                <w:rFonts w:ascii="宋体" w:hAnsi="宋体" w:eastAsia="宋体"/>
                <w:b/>
                <w:bCs/>
                <w:sz w:val="18"/>
                <w:szCs w:val="18"/>
              </w:rPr>
            </w:r>
            <w:r/>
          </w:p>
        </w:tc>
      </w:tr>
      <w:tr>
        <w:trPr>
          <w:trHeight w:val="90"/>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56</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对信息系统资产状况进行梳理，形成统一的《资产列表清单》。</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57</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对信息系统进行渗透性测试，根据渗透测试结果提交《渗透测试报告》。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58</w:t>
            </w:r>
            <w:r>
              <w:rPr>
                <w:rFonts w:ascii="宋体" w:hAnsi="宋体" w:eastAsia="宋体"/>
                <w:b/>
                <w:bCs/>
                <w:sz w:val="18"/>
                <w:szCs w:val="18"/>
              </w:rPr>
            </w:r>
            <w:r/>
          </w:p>
        </w:tc>
        <w:tc>
          <w:tcPr>
            <w:tcW w:w="4347" w:type="dxa"/>
            <w:vAlign w:val="bottom"/>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对信息系统服务器安全配置项进行检查，根据检查结果提交《服务器检查报告》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59</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对信息系统数据库安全配置项进行检查，根据检查结果提交《数据库检查报告》。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lang w:bidi="ar"/>
              </w:rPr>
              <w:framePr w:vAnchor="text" w:hAnchor="page" w:xAlign="center" w:y="271"/>
            </w:pPr>
            <w:r>
              <w:rPr>
                <w:rFonts w:hint="eastAsia" w:ascii="宋体" w:hAnsi="宋体" w:eastAsia="宋体"/>
                <w:b/>
                <w:bCs/>
                <w:sz w:val="18"/>
                <w:szCs w:val="18"/>
                <w:lang w:bidi="ar"/>
              </w:rPr>
              <w:t xml:space="preserve">1</w:t>
            </w:r>
            <w:r>
              <w:rPr>
                <w:rFonts w:ascii="宋体" w:hAnsi="宋体" w:eastAsia="宋体"/>
                <w:b/>
                <w:bCs/>
                <w:sz w:val="18"/>
                <w:szCs w:val="18"/>
                <w:lang w:bidi="ar"/>
              </w:rPr>
              <w:t xml:space="preserve">60</w:t>
            </w:r>
            <w:r>
              <w:rPr>
                <w:rFonts w:ascii="宋体" w:hAnsi="宋体" w:eastAsia="宋体"/>
                <w:b/>
                <w:bCs/>
                <w:sz w:val="18"/>
                <w:szCs w:val="18"/>
                <w:lang w:bidi="ar"/>
              </w:rPr>
            </w:r>
            <w:r/>
          </w:p>
        </w:tc>
        <w:tc>
          <w:tcPr>
            <w:tcW w:w="4347" w:type="dxa"/>
            <w:vAlign w:val="top"/>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对网络设备、安全设备配置项进行检查，根据检查结果提交《网络安全设备检查报告》。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61</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对信息系统架构、管理制度、安全责任的落实情况进行检查，根据检查结果提交检查报告。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62</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根据风险评估结果给出《风险评估报告》，并按照风险程度和重要级别给出《整改建议报告》。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63</w:t>
            </w:r>
            <w:r>
              <w:rPr>
                <w:rFonts w:ascii="宋体" w:hAnsi="宋体" w:eastAsia="宋体"/>
                <w:b/>
                <w:bCs/>
                <w:sz w:val="18"/>
                <w:szCs w:val="18"/>
              </w:rPr>
            </w:r>
            <w:r/>
          </w:p>
        </w:tc>
        <w:tc>
          <w:tcPr>
            <w:tcW w:w="4347" w:type="dxa"/>
            <w:vAlign w:val="center"/>
            <w:textDirection w:val="lrTb"/>
            <w:noWrap w:val="false"/>
          </w:tcPr>
          <w:p>
            <w:pPr>
              <w:pStyle w:val="998"/>
              <w:jc w:val="left"/>
              <w:spacing w:line="280" w:lineRule="exact"/>
              <w:widowControl/>
              <w:rPr>
                <w:rFonts w:ascii="宋体" w:hAnsi="宋体"/>
                <w:b/>
                <w:bCs/>
                <w:sz w:val="18"/>
                <w:szCs w:val="18"/>
                <w:lang w:bidi="ar"/>
              </w:rPr>
              <w:framePr w:vAnchor="text" w:hAnchor="page" w:xAlign="center" w:y="271"/>
              <w:outlineLvl w:val="1"/>
            </w:pPr>
            <w:r>
              <w:rPr>
                <w:rFonts w:ascii="宋体" w:hAnsi="宋体"/>
                <w:sz w:val="18"/>
                <w:szCs w:val="18"/>
                <w:lang w:bidi="ar"/>
              </w:rPr>
              <w:t xml:space="preserve">个人证书服务与智能密码钥匙USBKey配套使用，个人证书能够与我单位现有SSL VPN兼容适配，支持中国商用密码标准，支持加密算法SM2、SM3、SM4。</w:t>
            </w:r>
            <w:r>
              <w:rPr>
                <w:rFonts w:ascii="宋体" w:hAnsi="宋体"/>
                <w:b/>
                <w:bCs/>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ascii="宋体" w:hAnsi="宋体" w:eastAsia="宋体"/>
                <w:b/>
                <w:bCs/>
                <w:sz w:val="18"/>
                <w:szCs w:val="18"/>
              </w:rPr>
            </w:r>
            <w:r/>
          </w:p>
        </w:tc>
        <w:tc>
          <w:tcPr>
            <w:tcW w:w="4347" w:type="dxa"/>
            <w:vAlign w:val="center"/>
            <w:textDirection w:val="lrTb"/>
            <w:noWrap w:val="false"/>
          </w:tcPr>
          <w:p>
            <w:pPr>
              <w:pStyle w:val="998"/>
              <w:jc w:val="left"/>
              <w:spacing w:line="280" w:lineRule="exact"/>
              <w:widowControl/>
              <w:rPr>
                <w:rFonts w:ascii="宋体" w:hAnsi="宋体"/>
                <w:b/>
                <w:bCs/>
                <w:sz w:val="18"/>
                <w:szCs w:val="18"/>
                <w:lang w:bidi="ar"/>
              </w:rPr>
              <w:framePr w:vAnchor="text" w:hAnchor="page" w:xAlign="center" w:y="271"/>
              <w:outlineLvl w:val="1"/>
            </w:pPr>
            <w:r>
              <w:rPr>
                <w:rFonts w:ascii="宋体" w:hAnsi="宋体"/>
                <w:b/>
                <w:bCs/>
                <w:sz w:val="18"/>
                <w:szCs w:val="18"/>
                <w:lang w:bidi="ar"/>
              </w:rPr>
              <w:t xml:space="preserve">交付文档</w:t>
            </w:r>
            <w:r>
              <w:rPr>
                <w:rFonts w:ascii="宋体" w:hAnsi="宋体"/>
                <w:sz w:val="18"/>
                <w:szCs w:val="18"/>
                <w:lang w:bidi="ar"/>
              </w:rPr>
              <w:t xml:space="preserve">（实际需交付的文档至少包括以下文档）</w:t>
            </w:r>
            <w:r>
              <w:rPr>
                <w:rFonts w:ascii="宋体" w:hAnsi="宋体"/>
                <w:b/>
                <w:bCs/>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ascii="宋体" w:hAnsi="宋体" w:eastAsia="宋体"/>
                <w:b/>
                <w:bCs/>
                <w:sz w:val="18"/>
                <w:szCs w:val="18"/>
              </w:rPr>
              <w:t xml:space="preserve">164</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《信息系统资产列表》</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65</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《信息系统渗透测试报告》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66</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《信息系统服务器安全检查报告》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67</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《信息系统数据库安全检查报告》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68</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《网络设备、安全设备检查报告》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69</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《信息安全管理责任落实情况检查报告》</w:t>
            </w:r>
            <w:r>
              <w:rPr>
                <w:rFonts w:ascii="宋体" w:hAnsi="宋体"/>
                <w:sz w:val="18"/>
                <w:szCs w:val="18"/>
                <w:lang w:bidi="ar"/>
              </w:rPr>
            </w:r>
            <w:r/>
          </w:p>
        </w:tc>
      </w:tr>
      <w:tr>
        <w:trPr/>
        <w:tc>
          <w:tcPr>
            <w:tcW w:w="653" w:type="dxa"/>
            <w:vAlign w:val="top"/>
            <w:textDirection w:val="lrTb"/>
            <w:noWrap w:val="false"/>
          </w:tcPr>
          <w:p>
            <w:pPr>
              <w:pStyle w:val="1116"/>
              <w:jc w:val="center"/>
              <w:spacing w:line="280" w:lineRule="exact"/>
              <w:rPr>
                <w:rFonts w:ascii="宋体" w:hAnsi="宋体" w:eastAsia="宋体"/>
                <w:b/>
                <w:bCs/>
                <w:sz w:val="18"/>
                <w:szCs w:val="18"/>
              </w:rPr>
              <w:framePr w:vAnchor="text" w:hAnchor="page" w:xAlign="center" w:y="271"/>
            </w:pPr>
            <w:r>
              <w:rPr>
                <w:rFonts w:hint="eastAsia" w:ascii="宋体" w:hAnsi="宋体" w:eastAsia="宋体"/>
                <w:b/>
                <w:bCs/>
                <w:sz w:val="18"/>
                <w:szCs w:val="18"/>
              </w:rPr>
              <w:t xml:space="preserve">1</w:t>
            </w:r>
            <w:r>
              <w:rPr>
                <w:rFonts w:ascii="宋体" w:hAnsi="宋体" w:eastAsia="宋体"/>
                <w:b/>
                <w:bCs/>
                <w:sz w:val="18"/>
                <w:szCs w:val="18"/>
              </w:rPr>
              <w:t xml:space="preserve">70</w:t>
            </w:r>
            <w:r>
              <w:rPr>
                <w:rFonts w:ascii="宋体" w:hAnsi="宋体" w:eastAsia="宋体"/>
                <w:b/>
                <w:bCs/>
                <w:sz w:val="18"/>
                <w:szCs w:val="18"/>
              </w:rPr>
            </w:r>
            <w:r/>
          </w:p>
        </w:tc>
        <w:tc>
          <w:tcPr>
            <w:tcW w:w="4347" w:type="dxa"/>
            <w:vAlign w:val="center"/>
            <w:textDirection w:val="lrTb"/>
            <w:noWrap w:val="false"/>
          </w:tcPr>
          <w:p>
            <w:pPr>
              <w:pStyle w:val="998"/>
              <w:spacing w:line="280" w:lineRule="exact"/>
              <w:widowControl/>
              <w:rPr>
                <w:rFonts w:ascii="宋体" w:hAnsi="宋体"/>
                <w:sz w:val="18"/>
                <w:szCs w:val="18"/>
                <w:lang w:bidi="ar"/>
              </w:rPr>
              <w:framePr w:vAnchor="text" w:hAnchor="page" w:xAlign="center" w:y="271"/>
            </w:pPr>
            <w:r>
              <w:rPr>
                <w:rFonts w:ascii="宋体" w:hAnsi="宋体"/>
                <w:sz w:val="18"/>
                <w:szCs w:val="18"/>
                <w:lang w:bidi="ar"/>
              </w:rPr>
              <w:t xml:space="preserve">《风险评估报告及整改建议》</w:t>
            </w:r>
            <w:r>
              <w:rPr>
                <w:rFonts w:ascii="宋体" w:hAnsi="宋体"/>
                <w:sz w:val="18"/>
                <w:szCs w:val="18"/>
                <w:lang w:bidi="ar"/>
              </w:rPr>
            </w:r>
            <w:r/>
          </w:p>
        </w:tc>
      </w:tr>
    </w:tbl>
    <w:p>
      <w:pPr>
        <w:pStyle w:val="1010"/>
      </w:pPr>
      <w:r/>
      <w:r/>
    </w:p>
    <w:p>
      <w:pPr>
        <w:pStyle w:val="998"/>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998"/>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采购标的需实现的功能或者目标，以及为落实政府采购政策需满足的要求；</w:t>
      </w:r>
      <w:r>
        <w:rPr>
          <w:rFonts w:eastAsia="方正仿宋_GBK"/>
          <w:b/>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本次项目建设，总体上以国家安全观和网络强国战略为统领，紧紧围绕国家加快推进网络信息技术国产自主可控替代计划的整体战略布局，全面贯彻党的十九大和十九届二中、三中和四中全会精神，对南通市卫健委全民健康信息平台及相关信息系统进行适配和整合，进一步推动南通市卫健委政务信息资源的整合、共享和开放。</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通过整合分散的政务资源、统一技术标准与平台架构，破解传统政府信</w:t>
      </w:r>
      <w:r>
        <w:rPr>
          <w:rFonts w:hint="eastAsia" w:eastAsia="方正仿宋_GBK"/>
          <w:bCs/>
          <w:sz w:val="24"/>
          <w:szCs w:val="24"/>
        </w:rPr>
        <w:t xml:space="preserve">息化建设中存在的“重复建设、数据孤岛、协同低效”等痛点，推动政务服务与治理能力向集约化、智能化、标准化方向转型升级。通过统筹规划基础设施、共享共用数据资源、聚合共性业务能力，集约化建设能够实现跨部门、跨层级的系统互联与业务协同，降低建设和运维成本，提升数据流转效率与安全保障能力，最终支撑“一网通办”“一网统管”等目标的落地。其本质是以技术融合、数据融合与服务融合为抓手，构建全域联动、精准高效的数字化治理体系，助力政府提升公共服务质量、优化决策科学性、增强应急响应能力，为经济社会高质量发展提供长效数字化支撑。</w:t>
      </w:r>
      <w:r>
        <w:rPr>
          <w:rFonts w:eastAsia="方正仿宋_GBK"/>
          <w:bCs/>
          <w:sz w:val="24"/>
          <w:szCs w:val="24"/>
        </w:rPr>
      </w:r>
      <w:r/>
    </w:p>
    <w:p>
      <w:pPr>
        <w:pStyle w:val="998"/>
        <w:ind w:firstLine="480"/>
        <w:spacing w:line="0" w:lineRule="atLeast"/>
        <w:rPr>
          <w:rFonts w:hint="eastAsia" w:eastAsia="方正仿宋_GBK"/>
          <w:bCs/>
          <w:sz w:val="24"/>
          <w:szCs w:val="24"/>
        </w:rPr>
      </w:pPr>
      <w:r>
        <w:rPr>
          <w:rFonts w:hint="eastAsia" w:eastAsia="方正仿宋_GBK"/>
          <w:bCs/>
          <w:sz w:val="24"/>
          <w:szCs w:val="24"/>
        </w:rPr>
        <w:t xml:space="preserve">综上所述，通过本次应用系统适配整合，使南通市卫健委安全防护能力整体增强，信息安全基础更加牢固，提升南通市卫健委自主信息化水平，促进安全可靠生态体系可持续发展，同时实现南通市政务服务的“一网通办”、市域治理的“一网统管”与政府运行的“一网协同”的目标。</w:t>
      </w:r>
      <w:r>
        <w:rPr>
          <w:rFonts w:hint="eastAsia" w:eastAsia="方正仿宋_GBK"/>
          <w:bCs/>
          <w:sz w:val="24"/>
          <w:szCs w:val="24"/>
        </w:r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采购标的需执行的国家相关标准、行业标准、地方标准或者其他标准、规范；</w:t>
      </w:r>
      <w:r>
        <w:rPr>
          <w:rFonts w:eastAsia="方正仿宋_GBK"/>
          <w:b/>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《国家政务信息化项目建设管理办法》（国办发〔2019〕57号）；</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《“十四五”推进国家政务信息化规划》（发改高技〔2021〕1898号）；</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《“健康中国2030”规划纲要》；</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《关于印发全国公共卫生信息化建设标准与规范（试行）的通知》（国卫办规划发〔2020〕21号）；</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《国家卫生健康委办公厅关于开展医疗服务多元化监管工作的通知》（国卫办监督函〔2021〕150号）。</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《国家卫生计生委统计信息中心关于同意南通开展医疗健康信息互联互通业务协同试点的函》（国卫统信[</w:t>
      </w:r>
      <w:r>
        <w:rPr>
          <w:rFonts w:eastAsia="方正仿宋_GBK"/>
          <w:bCs/>
          <w:sz w:val="24"/>
          <w:szCs w:val="24"/>
        </w:rPr>
        <w:t xml:space="preserve">2018]21</w:t>
      </w:r>
      <w:r>
        <w:rPr>
          <w:rFonts w:hint="eastAsia" w:eastAsia="方正仿宋_GBK"/>
          <w:bCs/>
          <w:sz w:val="24"/>
          <w:szCs w:val="24"/>
        </w:rPr>
        <w:t xml:space="preserve">号）</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《“健康南通2030”规划纲要》。</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《智慧健康核心数据集采集方案》（医院版）</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《信息安全技术 网络安全等级保护定级指南》（GB/T 22240-2020）；</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《信息系统等级保护安全设计技术要求》（GBT25070-2019）</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《网络安全等级保护基本要求》（GB/T 22239-2019）；</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《网络安全等级保护测评要求》（GB/T 28448-2019）；</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《信息系统密码应用基本要求》（GM/T 0054-2018）；</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《信息系统密码应用基本要求》（GB/T 39786-2021）；</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《健康档案基本架构与数据标准（试行）》；</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《电子病历基本架构与数据标准（试行）》；</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《电子病历系统功能规范（试行）》；</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《电子病历基本规范（试行）》；</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《综合卫生管理信息平台建设指南（征求意见稿）》；</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《医院信息系统基本功能规范》；</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《中国医院信息基本数据集标准》；</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《国家基本公共卫生服务规范（第三版）》；</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《卫生系统电子认证服务体系系列规范》；</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《中国公共卫生信息分类与基本数据集》。</w:t>
      </w:r>
      <w:r>
        <w:rPr>
          <w:rFonts w:eastAsia="方正仿宋_GBK"/>
          <w:bCs/>
          <w:sz w:val="24"/>
          <w:szCs w:val="24"/>
        </w:rPr>
      </w:r>
      <w:r/>
    </w:p>
    <w:p>
      <w:pPr>
        <w:pStyle w:val="998"/>
      </w:p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采购标的需满足的质量、安全、技术规格、物理特性等要求；</w:t>
      </w:r>
      <w:r>
        <w:rPr>
          <w:rFonts w:eastAsia="方正仿宋_GBK"/>
          <w:b/>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3.1总体建设要求</w:t>
      </w:r>
      <w:r>
        <w:rPr>
          <w:rFonts w:ascii="楷体" w:hAnsi="楷体" w:eastAsia="楷体"/>
          <w:b/>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本次项目建设，将完成南通市全民健康信息平台与南通市医疗机构依法执业自我管理系统、南通市医疗服务多元化信息系统、南通市职业健康体检系统、南通市药品采购目录审核与使用监管系统、南通市远程会诊管理平台、南通市生育登记信息系统（一次性奖励扶持）、市基层疾病分级服务平台、南通市电子票据信息系统、南通市基层结核病管理系统、南通市干部保健系统的整合及适配改造；</w:t>
      </w:r>
      <w:r>
        <w:rPr>
          <w:rFonts w:eastAsia="方正仿宋_GBK"/>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3.2总体框架要求</w:t>
      </w:r>
      <w:r>
        <w:rPr>
          <w:rFonts w:ascii="楷体" w:hAnsi="楷体" w:eastAsia="楷体"/>
          <w:b/>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本次项目建设，旨在基于国产化适配要求完成南通市全民健康信息平台与10个相关信息系统的整合改造、适配迁移工作；</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同时，本次项目建设，将在国产化改造的基础上，针对全民健康信息平台进行提档升级，满足区域医疗卫生日益发展的业务需求。</w:t>
      </w:r>
      <w:r>
        <w:rPr>
          <w:rFonts w:eastAsia="方正仿宋_GBK"/>
          <w:bCs/>
          <w:sz w:val="24"/>
          <w:szCs w:val="24"/>
        </w:rPr>
      </w:r>
      <w:r/>
    </w:p>
    <w:p>
      <w:pPr>
        <w:pStyle w:val="998"/>
        <w:rPr>
          <w:sz w:val="24"/>
          <w:szCs w:val="24"/>
        </w:rPr>
      </w:pPr>
      <w:r>
        <w:rPr>
          <w:sz w:val="24"/>
          <w:szCs w:val="24"/>
        </w:rPr>
        <mc:AlternateContent>
          <mc:Choice Requires="wpg">
            <w:drawing>
              <wp:inline xmlns:wp="http://schemas.openxmlformats.org/drawingml/2006/wordprocessingDrawing" distT="0" distB="0" distL="0" distR="0">
                <wp:extent cx="5218049" cy="280122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18049" cy="28012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0.9pt;height:220.6pt;mso-wrap-distance-left:0.0pt;mso-wrap-distance-top:0.0pt;mso-wrap-distance-right:0.0pt;mso-wrap-distance-bottom:0.0pt;" stroked="f">
                <v:path textboxrect="0,0,0,0"/>
                <v:imagedata r:id="rId15" o:title=""/>
              </v:shape>
            </w:pict>
          </mc:Fallback>
        </mc:AlternateContent>
      </w:r>
      <w:r>
        <w:rPr>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数据库适配主要是指业务系统数据库改造、中心数据核心数据库改造。</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底层适配包括中间件适配及调试，后台单点端口配置以及国产系统适配、调试。</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终端适配包括页面及浏览器适配、国产运行环境适配、空间及插件调整、脚本语法调整、样式调整等。</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系统替换主要是基于南通市全民健康信息平台进行新老系统的替换、运行、备份。</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系统整合改造，即为了实现全民健康信息平台的高效运作与数据互联互通，将进行系统性的整合工作。通过对平台及对外的统一权限服务接口和统一单点认证接口进行整合改造，完成全民健康信息平台与10个相关信息系统的整合，确保各系统能够通过一个统一的门户进行便捷登录。</w:t>
      </w:r>
      <w:r>
        <w:rPr>
          <w:rFonts w:eastAsia="方正仿宋_GBK"/>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3.3质量、安全、技术规格、物理特性等要求。</w:t>
      </w:r>
      <w:r>
        <w:rPr>
          <w:rFonts w:ascii="楷体" w:hAnsi="楷体" w:eastAsia="楷体"/>
          <w:b/>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本次项目</w:t>
      </w:r>
      <w:r>
        <w:rPr>
          <w:rFonts w:eastAsia="方正仿宋_GBK"/>
          <w:bCs/>
          <w:sz w:val="24"/>
          <w:szCs w:val="24"/>
        </w:rPr>
        <w:t xml:space="preserve">在质量、安全、技术规格、物理特性上需要满足要求如下：</w:t>
      </w:r>
      <w:r>
        <w:rPr>
          <w:rFonts w:eastAsia="方正仿宋_GBK"/>
          <w:bCs/>
          <w:sz w:val="24"/>
          <w:szCs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78"/>
        <w:gridCol w:w="1089"/>
        <w:gridCol w:w="7502"/>
      </w:tblGrid>
      <w:tr>
        <w:trPr>
          <w:trHeight w:val="465"/>
        </w:trPr>
        <w:tc>
          <w:tcPr>
            <w:shd w:val="clear" w:color="000000" w:fill="d9d9d9"/>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b/>
                <w:bCs/>
                <w:color w:val="000000"/>
                <w:sz w:val="18"/>
                <w:szCs w:val="18"/>
              </w:rPr>
            </w:pPr>
            <w:r>
              <w:rPr>
                <w:rFonts w:ascii="宋体" w:hAnsi="宋体"/>
                <w:b/>
                <w:bCs/>
                <w:color w:val="000000"/>
                <w:sz w:val="18"/>
                <w:szCs w:val="18"/>
              </w:rPr>
              <w:t xml:space="preserve">序号</w:t>
            </w:r>
            <w:r>
              <w:rPr>
                <w:rFonts w:ascii="宋体" w:hAnsi="宋体"/>
                <w:b/>
                <w:bCs/>
                <w:color w:val="000000"/>
                <w:sz w:val="18"/>
                <w:szCs w:val="18"/>
              </w:rPr>
            </w:r>
            <w:r/>
          </w:p>
        </w:tc>
        <w:tc>
          <w:tcPr>
            <w:shd w:val="clear" w:color="000000" w:fill="d9d9d9"/>
            <w:tcBorders>
              <w:top w:val="singl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b/>
                <w:bCs/>
                <w:color w:val="000000"/>
                <w:sz w:val="18"/>
                <w:szCs w:val="18"/>
              </w:rPr>
            </w:pPr>
            <w:r>
              <w:rPr>
                <w:rFonts w:ascii="宋体" w:hAnsi="宋体"/>
                <w:b/>
                <w:bCs/>
                <w:color w:val="000000"/>
                <w:sz w:val="18"/>
                <w:szCs w:val="18"/>
              </w:rPr>
              <w:t xml:space="preserve">类型</w:t>
            </w:r>
            <w:r>
              <w:rPr>
                <w:rFonts w:ascii="宋体" w:hAnsi="宋体"/>
                <w:b/>
                <w:bCs/>
                <w:color w:val="000000"/>
                <w:sz w:val="18"/>
                <w:szCs w:val="18"/>
              </w:rPr>
            </w:r>
            <w:r/>
          </w:p>
        </w:tc>
        <w:tc>
          <w:tcPr>
            <w:shd w:val="clear" w:color="000000" w:fill="d9d9d9"/>
            <w:tcBorders>
              <w:top w:val="single" w:color="000000" w:sz="4" w:space="0"/>
              <w:left w:val="none" w:color="000000" w:sz="4" w:space="0"/>
              <w:bottom w:val="single" w:color="000000" w:sz="4" w:space="0"/>
              <w:right w:val="single" w:color="000000" w:sz="4" w:space="0"/>
            </w:tcBorders>
            <w:tcW w:w="4090" w:type="dxa"/>
            <w:vAlign w:val="center"/>
            <w:textDirection w:val="lrTb"/>
            <w:noWrap/>
          </w:tcPr>
          <w:p>
            <w:pPr>
              <w:pStyle w:val="998"/>
              <w:jc w:val="center"/>
              <w:widowControl/>
              <w:rPr>
                <w:rFonts w:ascii="宋体" w:hAnsi="宋体"/>
                <w:b/>
                <w:bCs/>
                <w:color w:val="000000"/>
                <w:sz w:val="18"/>
                <w:szCs w:val="18"/>
              </w:rPr>
            </w:pPr>
            <w:r>
              <w:rPr>
                <w:rFonts w:ascii="宋体" w:hAnsi="宋体"/>
                <w:b/>
                <w:bCs/>
                <w:color w:val="000000"/>
                <w:sz w:val="18"/>
                <w:szCs w:val="18"/>
              </w:rPr>
              <w:t xml:space="preserve">技术规格</w:t>
            </w:r>
            <w:r>
              <w:rPr>
                <w:rFonts w:ascii="宋体" w:hAnsi="宋体"/>
                <w:b/>
                <w:bCs/>
                <w:color w:val="000000"/>
                <w:sz w:val="18"/>
                <w:szCs w:val="18"/>
              </w:rPr>
            </w:r>
            <w:r/>
          </w:p>
        </w:tc>
      </w:tr>
      <w:tr>
        <w:trPr>
          <w:trHeight w:val="1412"/>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1</w:t>
            </w: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基本要求</w:t>
            </w: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4"/>
              </w:numPr>
              <w:jc w:val="left"/>
              <w:widowControl/>
              <w:rPr>
                <w:rFonts w:ascii="宋体" w:hAnsi="宋体"/>
                <w:color w:val="000000"/>
                <w:sz w:val="18"/>
                <w:szCs w:val="18"/>
              </w:rPr>
            </w:pPr>
            <w:r>
              <w:rPr>
                <w:rFonts w:ascii="宋体" w:hAnsi="宋体"/>
                <w:color w:val="000000"/>
                <w:sz w:val="18"/>
                <w:szCs w:val="18"/>
                <w:lang w:eastAsia="en-US"/>
              </w:rPr>
              <w:t xml:space="preserve">采用</w:t>
            </w:r>
            <w:r>
              <w:rPr>
                <w:rFonts w:ascii="宋体" w:hAnsi="宋体"/>
                <w:color w:val="000000"/>
                <w:sz w:val="18"/>
                <w:szCs w:val="18"/>
              </w:rPr>
              <w:t xml:space="preserve">B/S架构，支持Chrome、</w:t>
            </w:r>
            <w:r>
              <w:rPr>
                <w:rFonts w:ascii="宋体" w:hAnsi="宋体"/>
                <w:color w:val="000000"/>
                <w:sz w:val="18"/>
                <w:szCs w:val="18"/>
                <w:lang w:eastAsia="en-US"/>
              </w:rPr>
              <w:t xml:space="preserve">IE及</w:t>
            </w:r>
            <w:r>
              <w:rPr>
                <w:rFonts w:ascii="宋体" w:hAnsi="宋体"/>
                <w:color w:val="000000"/>
                <w:sz w:val="18"/>
                <w:szCs w:val="18"/>
              </w:rPr>
              <w:t xml:space="preserve">国产浏览器；</w:t>
            </w:r>
            <w:r>
              <w:rPr>
                <w:rFonts w:ascii="宋体" w:hAnsi="宋体"/>
                <w:color w:val="000000"/>
                <w:sz w:val="18"/>
                <w:szCs w:val="18"/>
              </w:rPr>
            </w:r>
            <w:r/>
          </w:p>
          <w:p>
            <w:pPr>
              <w:pStyle w:val="998"/>
              <w:numPr>
                <w:ilvl w:val="0"/>
                <w:numId w:val="14"/>
              </w:numPr>
              <w:jc w:val="left"/>
              <w:widowControl/>
              <w:rPr>
                <w:rFonts w:ascii="宋体" w:hAnsi="宋体"/>
                <w:color w:val="000000"/>
                <w:sz w:val="18"/>
                <w:szCs w:val="18"/>
              </w:rPr>
            </w:pPr>
            <w:r>
              <w:rPr>
                <w:rFonts w:ascii="宋体" w:hAnsi="宋体"/>
                <w:color w:val="000000"/>
                <w:sz w:val="18"/>
                <w:szCs w:val="18"/>
              </w:rPr>
              <w:t xml:space="preserve">支持人大金仓等国产数据库；</w:t>
            </w:r>
            <w:r>
              <w:rPr>
                <w:rFonts w:ascii="宋体" w:hAnsi="宋体"/>
                <w:color w:val="000000"/>
                <w:sz w:val="18"/>
                <w:szCs w:val="18"/>
              </w:rPr>
            </w:r>
            <w:r/>
          </w:p>
          <w:p>
            <w:pPr>
              <w:pStyle w:val="998"/>
              <w:numPr>
                <w:ilvl w:val="0"/>
                <w:numId w:val="14"/>
              </w:numPr>
              <w:jc w:val="left"/>
              <w:widowControl/>
              <w:rPr>
                <w:rFonts w:ascii="宋体" w:hAnsi="宋体"/>
                <w:color w:val="000000"/>
                <w:sz w:val="18"/>
                <w:szCs w:val="18"/>
              </w:rPr>
            </w:pPr>
            <w:r>
              <w:rPr>
                <w:rFonts w:ascii="宋体" w:hAnsi="宋体"/>
                <w:color w:val="000000"/>
                <w:sz w:val="18"/>
                <w:szCs w:val="18"/>
              </w:rPr>
              <w:t xml:space="preserve">系统界面设计风格新颖，交互设计简单实用，内容结构设置合理、直观。</w:t>
            </w:r>
            <w:r>
              <w:rPr>
                <w:rFonts w:ascii="宋体" w:hAnsi="宋体"/>
                <w:color w:val="000000"/>
                <w:sz w:val="18"/>
                <w:szCs w:val="18"/>
              </w:rPr>
            </w:r>
            <w:r/>
          </w:p>
          <w:p>
            <w:pPr>
              <w:pStyle w:val="998"/>
              <w:numPr>
                <w:ilvl w:val="0"/>
                <w:numId w:val="14"/>
              </w:numPr>
              <w:jc w:val="left"/>
              <w:widowControl/>
              <w:rPr>
                <w:rFonts w:ascii="宋体" w:hAnsi="宋体"/>
                <w:sz w:val="18"/>
                <w:szCs w:val="18"/>
              </w:rPr>
            </w:pPr>
            <w:r>
              <w:rPr>
                <w:rFonts w:ascii="宋体" w:hAnsi="宋体"/>
                <w:color w:val="000000"/>
                <w:sz w:val="18"/>
                <w:szCs w:val="18"/>
              </w:rPr>
              <w:t xml:space="preserve">系统操作简单，管理方便。UI设计参照业主单位</w:t>
            </w:r>
            <w:r>
              <w:rPr>
                <w:rFonts w:hint="eastAsia" w:ascii="宋体" w:hAnsi="宋体"/>
                <w:color w:val="000000"/>
                <w:sz w:val="18"/>
                <w:szCs w:val="18"/>
              </w:rPr>
              <w:t xml:space="preserve">统一的</w:t>
            </w:r>
            <w:r>
              <w:rPr>
                <w:rFonts w:ascii="宋体" w:hAnsi="宋体"/>
                <w:color w:val="000000"/>
                <w:sz w:val="18"/>
                <w:szCs w:val="18"/>
              </w:rPr>
              <w:t xml:space="preserve">UI设计标准规范。</w:t>
            </w:r>
            <w:r>
              <w:rPr>
                <w:rFonts w:ascii="宋体" w:hAnsi="宋体"/>
                <w:sz w:val="18"/>
                <w:szCs w:val="18"/>
              </w:rPr>
            </w:r>
            <w:r/>
          </w:p>
        </w:tc>
      </w:tr>
      <w:tr>
        <w:trPr>
          <w:trHeight w:val="715"/>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2</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功能要求</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5"/>
              </w:numPr>
              <w:jc w:val="left"/>
              <w:widowControl/>
              <w:rPr>
                <w:rFonts w:ascii="宋体" w:hAnsi="宋体"/>
                <w:color w:val="000000"/>
                <w:sz w:val="18"/>
                <w:szCs w:val="18"/>
              </w:rPr>
            </w:pPr>
            <w:r>
              <w:rPr>
                <w:rFonts w:ascii="宋体" w:hAnsi="宋体"/>
                <w:color w:val="000000"/>
                <w:sz w:val="18"/>
                <w:szCs w:val="18"/>
              </w:rPr>
              <w:t xml:space="preserve">主流的开发语言和环境。使用主流的开发语言和环境，便于维护</w:t>
            </w:r>
            <w:r>
              <w:rPr>
                <w:rFonts w:hint="eastAsia" w:ascii="宋体" w:hAnsi="宋体"/>
                <w:color w:val="000000"/>
                <w:sz w:val="18"/>
                <w:szCs w:val="18"/>
              </w:rPr>
              <w:t xml:space="preserve">，</w:t>
            </w:r>
            <w:r>
              <w:rPr>
                <w:rFonts w:ascii="宋体" w:hAnsi="宋体"/>
                <w:color w:val="000000"/>
                <w:sz w:val="18"/>
                <w:szCs w:val="18"/>
              </w:rPr>
              <w:t xml:space="preserve">支持可扩展性。</w:t>
            </w:r>
            <w:r>
              <w:rPr>
                <w:rFonts w:ascii="宋体" w:hAnsi="宋体"/>
                <w:color w:val="000000"/>
                <w:sz w:val="18"/>
                <w:szCs w:val="18"/>
              </w:rPr>
            </w:r>
            <w:r/>
          </w:p>
          <w:p>
            <w:pPr>
              <w:pStyle w:val="998"/>
              <w:numPr>
                <w:ilvl w:val="0"/>
                <w:numId w:val="15"/>
              </w:numPr>
              <w:jc w:val="left"/>
              <w:widowControl/>
              <w:rPr>
                <w:rFonts w:ascii="宋体" w:hAnsi="宋体"/>
                <w:color w:val="000000"/>
                <w:sz w:val="18"/>
                <w:szCs w:val="18"/>
              </w:rPr>
            </w:pPr>
            <w:r>
              <w:rPr>
                <w:rFonts w:ascii="宋体" w:hAnsi="宋体"/>
                <w:color w:val="000000"/>
                <w:sz w:val="18"/>
                <w:szCs w:val="18"/>
              </w:rPr>
              <w:t xml:space="preserve">良好的用户界面。打造操作友好型服务终端界面，达到提醒精准、调阅迅速、互认方便、操作便捷的建设标准。</w:t>
            </w:r>
            <w:r>
              <w:rPr>
                <w:rFonts w:ascii="宋体" w:hAnsi="宋体"/>
                <w:color w:val="000000"/>
                <w:sz w:val="18"/>
                <w:szCs w:val="18"/>
              </w:rPr>
            </w:r>
            <w:r/>
          </w:p>
          <w:p>
            <w:pPr>
              <w:pStyle w:val="998"/>
              <w:numPr>
                <w:ilvl w:val="0"/>
                <w:numId w:val="15"/>
              </w:numPr>
              <w:jc w:val="left"/>
              <w:widowControl/>
              <w:rPr>
                <w:rFonts w:ascii="宋体" w:hAnsi="宋体"/>
                <w:color w:val="000000"/>
                <w:sz w:val="18"/>
                <w:szCs w:val="18"/>
              </w:rPr>
            </w:pPr>
            <w:r>
              <w:rPr>
                <w:rFonts w:ascii="宋体" w:hAnsi="宋体"/>
                <w:color w:val="000000"/>
                <w:sz w:val="18"/>
                <w:szCs w:val="18"/>
              </w:rPr>
              <w:t xml:space="preserve">统一标准和规范。统一</w:t>
            </w:r>
            <w:r>
              <w:rPr>
                <w:rFonts w:hint="eastAsia" w:ascii="宋体" w:hAnsi="宋体"/>
                <w:color w:val="000000"/>
                <w:sz w:val="18"/>
                <w:szCs w:val="18"/>
              </w:rPr>
              <w:t xml:space="preserve">数据标准和规范</w:t>
            </w:r>
            <w:r>
              <w:rPr>
                <w:rFonts w:ascii="宋体" w:hAnsi="宋体"/>
                <w:color w:val="000000"/>
                <w:sz w:val="18"/>
                <w:szCs w:val="18"/>
              </w:rPr>
              <w:t xml:space="preserve">，构成业务流、数据流、信息流多流合一的应用场景。</w:t>
            </w:r>
            <w:r>
              <w:rPr>
                <w:rFonts w:ascii="宋体" w:hAnsi="宋体"/>
                <w:color w:val="000000"/>
                <w:sz w:val="18"/>
                <w:szCs w:val="18"/>
              </w:rPr>
            </w:r>
            <w:r/>
          </w:p>
          <w:p>
            <w:pPr>
              <w:pStyle w:val="998"/>
              <w:numPr>
                <w:ilvl w:val="0"/>
                <w:numId w:val="15"/>
              </w:numPr>
              <w:jc w:val="left"/>
              <w:widowControl/>
              <w:rPr>
                <w:rFonts w:ascii="宋体" w:hAnsi="宋体"/>
                <w:color w:val="000000"/>
                <w:sz w:val="18"/>
                <w:szCs w:val="18"/>
              </w:rPr>
            </w:pPr>
            <w:r>
              <w:rPr>
                <w:rFonts w:ascii="宋体" w:hAnsi="宋体"/>
                <w:color w:val="000000"/>
                <w:sz w:val="18"/>
                <w:szCs w:val="18"/>
              </w:rPr>
              <w:t xml:space="preserve">需和</w:t>
            </w:r>
            <w:r>
              <w:rPr>
                <w:rFonts w:hint="eastAsia" w:ascii="宋体" w:hAnsi="宋体"/>
                <w:color w:val="000000"/>
                <w:sz w:val="18"/>
                <w:szCs w:val="18"/>
              </w:rPr>
              <w:t xml:space="preserve">多个信息系统</w:t>
            </w:r>
            <w:r>
              <w:rPr>
                <w:rFonts w:ascii="宋体" w:hAnsi="宋体"/>
                <w:color w:val="000000"/>
                <w:sz w:val="18"/>
                <w:szCs w:val="18"/>
              </w:rPr>
              <w:t xml:space="preserve">协调消息接口问题，中标方须</w:t>
            </w:r>
            <w:r>
              <w:rPr>
                <w:rFonts w:hint="eastAsia" w:ascii="宋体" w:hAnsi="宋体"/>
                <w:color w:val="000000"/>
                <w:sz w:val="18"/>
                <w:szCs w:val="18"/>
              </w:rPr>
              <w:t xml:space="preserve">提供</w:t>
            </w:r>
            <w:r>
              <w:rPr>
                <w:rFonts w:ascii="宋体" w:hAnsi="宋体"/>
                <w:color w:val="000000"/>
                <w:sz w:val="18"/>
                <w:szCs w:val="18"/>
              </w:rPr>
              <w:t xml:space="preserve">良好的沟通协调能力。</w:t>
            </w:r>
            <w:r>
              <w:rPr>
                <w:rFonts w:ascii="宋体" w:hAnsi="宋体"/>
                <w:color w:val="000000"/>
                <w:sz w:val="18"/>
                <w:szCs w:val="18"/>
              </w:rPr>
            </w:r>
            <w:r/>
          </w:p>
        </w:tc>
      </w:tr>
      <w:tr>
        <w:trPr>
          <w:trHeight w:val="715"/>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3</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兼容性要求</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6"/>
              </w:numPr>
              <w:jc w:val="left"/>
              <w:widowControl/>
              <w:rPr>
                <w:rFonts w:ascii="宋体" w:hAnsi="宋体"/>
                <w:color w:val="000000"/>
                <w:sz w:val="18"/>
                <w:szCs w:val="18"/>
              </w:rPr>
            </w:pPr>
            <w:r>
              <w:rPr>
                <w:rFonts w:ascii="宋体" w:hAnsi="宋体"/>
                <w:color w:val="000000"/>
                <w:sz w:val="18"/>
                <w:szCs w:val="18"/>
              </w:rPr>
              <w:t xml:space="preserve">兼容现有市场上主流的存储阵列产品；</w:t>
            </w:r>
            <w:r>
              <w:rPr>
                <w:rFonts w:ascii="宋体" w:hAnsi="宋体"/>
                <w:color w:val="000000"/>
                <w:sz w:val="18"/>
                <w:szCs w:val="18"/>
              </w:rPr>
            </w:r>
            <w:r/>
          </w:p>
          <w:p>
            <w:pPr>
              <w:pStyle w:val="998"/>
              <w:numPr>
                <w:ilvl w:val="0"/>
                <w:numId w:val="16"/>
              </w:numPr>
              <w:jc w:val="left"/>
              <w:widowControl/>
              <w:rPr>
                <w:rFonts w:ascii="宋体" w:hAnsi="宋体"/>
                <w:color w:val="000000"/>
                <w:sz w:val="18"/>
                <w:szCs w:val="18"/>
              </w:rPr>
            </w:pPr>
            <w:r>
              <w:rPr>
                <w:rFonts w:ascii="宋体" w:hAnsi="宋体"/>
                <w:color w:val="000000"/>
                <w:sz w:val="18"/>
                <w:szCs w:val="18"/>
              </w:rPr>
              <w:t xml:space="preserve">支持</w:t>
            </w:r>
            <w:r>
              <w:rPr>
                <w:rFonts w:ascii="宋体" w:hAnsi="宋体"/>
                <w:color w:val="000000"/>
                <w:sz w:val="18"/>
                <w:szCs w:val="18"/>
                <w:lang w:eastAsia="en-US"/>
              </w:rPr>
              <w:t xml:space="preserve">跨平台部署，</w:t>
            </w:r>
            <w:r>
              <w:rPr>
                <w:rFonts w:ascii="宋体" w:hAnsi="宋体"/>
                <w:color w:val="000000"/>
                <w:sz w:val="18"/>
                <w:szCs w:val="18"/>
              </w:rPr>
              <w:t xml:space="preserve">兼容现有市场上x86服务器或Unix服务器上能够运行的主流操作系统。</w:t>
            </w:r>
            <w:r>
              <w:rPr>
                <w:rFonts w:ascii="宋体" w:hAnsi="宋体"/>
                <w:color w:val="000000"/>
                <w:sz w:val="18"/>
                <w:szCs w:val="18"/>
              </w:rPr>
            </w:r>
            <w:r/>
          </w:p>
        </w:tc>
      </w:tr>
      <w:tr>
        <w:trPr>
          <w:trHeight w:val="841"/>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4</w:t>
            </w: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性能要求</w:t>
            </w: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7"/>
              </w:numPr>
              <w:jc w:val="left"/>
              <w:widowControl/>
              <w:rPr>
                <w:rFonts w:ascii="宋体" w:hAnsi="宋体"/>
                <w:color w:val="000000"/>
                <w:sz w:val="18"/>
                <w:szCs w:val="18"/>
                <w:lang w:eastAsia="en-US"/>
              </w:rPr>
            </w:pPr>
            <w:r>
              <w:rPr>
                <w:rFonts w:ascii="宋体" w:hAnsi="宋体"/>
                <w:color w:val="000000"/>
                <w:sz w:val="18"/>
                <w:szCs w:val="18"/>
              </w:rPr>
              <w:t xml:space="preserve">应用系统</w:t>
            </w:r>
            <w:r>
              <w:rPr>
                <w:rFonts w:ascii="宋体" w:hAnsi="宋体"/>
                <w:color w:val="000000"/>
                <w:sz w:val="18"/>
                <w:szCs w:val="18"/>
                <w:lang w:eastAsia="en-US"/>
              </w:rPr>
              <w:t xml:space="preserve">至少支持1000用户同时在线。</w:t>
            </w:r>
            <w:r>
              <w:rPr>
                <w:rFonts w:ascii="宋体" w:hAnsi="宋体"/>
                <w:color w:val="000000"/>
                <w:sz w:val="18"/>
                <w:szCs w:val="18"/>
                <w:lang w:eastAsia="en-US"/>
              </w:rPr>
            </w:r>
            <w:r/>
          </w:p>
          <w:p>
            <w:pPr>
              <w:pStyle w:val="998"/>
              <w:numPr>
                <w:ilvl w:val="0"/>
                <w:numId w:val="17"/>
              </w:numPr>
              <w:jc w:val="left"/>
              <w:widowControl/>
              <w:rPr>
                <w:rFonts w:ascii="宋体" w:hAnsi="宋体"/>
                <w:color w:val="000000"/>
                <w:sz w:val="18"/>
                <w:szCs w:val="18"/>
                <w:lang w:eastAsia="en-US"/>
              </w:rPr>
            </w:pPr>
            <w:r>
              <w:rPr>
                <w:rFonts w:ascii="宋体" w:hAnsi="宋体"/>
                <w:color w:val="000000"/>
                <w:sz w:val="18"/>
                <w:szCs w:val="18"/>
                <w:lang w:eastAsia="en-US"/>
              </w:rPr>
              <w:t xml:space="preserve">系统CPU平均利用率不超过60％；内存平均使用率不超过</w:t>
            </w:r>
            <w:r>
              <w:rPr>
                <w:rFonts w:ascii="宋体" w:hAnsi="宋体"/>
                <w:color w:val="000000"/>
                <w:sz w:val="18"/>
                <w:szCs w:val="18"/>
              </w:rPr>
              <w:t xml:space="preserve">75</w:t>
            </w:r>
            <w:r>
              <w:rPr>
                <w:rFonts w:ascii="宋体" w:hAnsi="宋体"/>
                <w:color w:val="000000"/>
                <w:sz w:val="18"/>
                <w:szCs w:val="18"/>
                <w:lang w:eastAsia="en-US"/>
              </w:rPr>
              <w:t xml:space="preserve">％；</w:t>
            </w:r>
            <w:r>
              <w:rPr>
                <w:rFonts w:ascii="宋体" w:hAnsi="宋体"/>
                <w:color w:val="000000"/>
                <w:sz w:val="18"/>
                <w:szCs w:val="18"/>
                <w:lang w:eastAsia="en-US"/>
              </w:rPr>
            </w:r>
            <w:r/>
          </w:p>
          <w:p>
            <w:pPr>
              <w:pStyle w:val="998"/>
              <w:numPr>
                <w:ilvl w:val="0"/>
                <w:numId w:val="17"/>
              </w:numPr>
              <w:jc w:val="left"/>
              <w:widowControl/>
              <w:rPr>
                <w:rFonts w:ascii="宋体" w:hAnsi="宋体"/>
                <w:color w:val="000000"/>
                <w:sz w:val="18"/>
                <w:szCs w:val="18"/>
                <w:lang w:eastAsia="en-US"/>
              </w:rPr>
            </w:pPr>
            <w:r>
              <w:rPr>
                <w:rFonts w:ascii="宋体" w:hAnsi="宋体"/>
                <w:color w:val="000000"/>
                <w:sz w:val="18"/>
                <w:szCs w:val="18"/>
                <w:lang w:eastAsia="en-US"/>
              </w:rPr>
              <w:t xml:space="preserve">软件运行出错率小于1％，出错后不造成需要进行程序代码修改或数据库底层操作才能解决的问题。</w:t>
            </w:r>
            <w:r>
              <w:rPr>
                <w:rFonts w:ascii="宋体" w:hAnsi="宋体"/>
                <w:color w:val="000000"/>
                <w:sz w:val="18"/>
                <w:szCs w:val="18"/>
                <w:lang w:eastAsia="en-US"/>
              </w:rPr>
            </w:r>
            <w:r/>
          </w:p>
          <w:p>
            <w:pPr>
              <w:pStyle w:val="998"/>
              <w:numPr>
                <w:ilvl w:val="0"/>
                <w:numId w:val="17"/>
              </w:numPr>
              <w:jc w:val="left"/>
              <w:widowControl/>
              <w:rPr>
                <w:rFonts w:ascii="宋体" w:hAnsi="宋体"/>
                <w:color w:val="000000"/>
                <w:sz w:val="18"/>
                <w:szCs w:val="18"/>
              </w:rPr>
            </w:pPr>
            <w:r>
              <w:rPr>
                <w:rFonts w:ascii="宋体" w:hAnsi="宋体"/>
                <w:color w:val="000000"/>
                <w:sz w:val="18"/>
                <w:szCs w:val="18"/>
              </w:rPr>
              <w:t xml:space="preserve">支持双活或双机热备机制，保障系统可用性。</w:t>
            </w:r>
            <w:r>
              <w:rPr>
                <w:rFonts w:ascii="宋体" w:hAnsi="宋体"/>
                <w:color w:val="000000"/>
                <w:sz w:val="18"/>
                <w:szCs w:val="18"/>
              </w:rPr>
            </w:r>
            <w:r/>
          </w:p>
          <w:p>
            <w:pPr>
              <w:pStyle w:val="998"/>
              <w:numPr>
                <w:ilvl w:val="0"/>
                <w:numId w:val="17"/>
              </w:numPr>
              <w:jc w:val="left"/>
              <w:widowControl/>
              <w:rPr>
                <w:rFonts w:ascii="宋体" w:hAnsi="宋体"/>
                <w:color w:val="000000"/>
                <w:sz w:val="18"/>
                <w:szCs w:val="18"/>
              </w:rPr>
            </w:pPr>
            <w:r>
              <w:rPr>
                <w:rFonts w:hint="eastAsia" w:ascii="宋体" w:hAnsi="宋体"/>
                <w:color w:val="000000"/>
                <w:sz w:val="18"/>
                <w:szCs w:val="18"/>
              </w:rPr>
              <w:t xml:space="preserve">系统</w:t>
            </w:r>
            <w:r>
              <w:rPr>
                <w:rFonts w:ascii="宋体" w:hAnsi="宋体"/>
                <w:color w:val="000000"/>
                <w:sz w:val="18"/>
                <w:szCs w:val="18"/>
              </w:rPr>
              <w:t xml:space="preserve">升级和维护不应影响系统正常使用；</w:t>
            </w:r>
            <w:r>
              <w:rPr>
                <w:rFonts w:ascii="宋体" w:hAnsi="宋体"/>
                <w:color w:val="000000"/>
                <w:sz w:val="18"/>
                <w:szCs w:val="18"/>
              </w:rPr>
            </w:r>
            <w:r/>
          </w:p>
          <w:p>
            <w:pPr>
              <w:pStyle w:val="998"/>
              <w:numPr>
                <w:ilvl w:val="0"/>
                <w:numId w:val="17"/>
              </w:numPr>
              <w:jc w:val="left"/>
              <w:widowControl/>
              <w:rPr>
                <w:rFonts w:ascii="宋体" w:hAnsi="宋体"/>
                <w:color w:val="000000"/>
                <w:sz w:val="18"/>
                <w:szCs w:val="18"/>
              </w:rPr>
            </w:pPr>
            <w:r>
              <w:rPr>
                <w:rFonts w:ascii="宋体" w:hAnsi="宋体"/>
                <w:color w:val="000000"/>
                <w:sz w:val="18"/>
                <w:szCs w:val="18"/>
              </w:rPr>
              <w:t xml:space="preserve">系统稳定性指标：系统有效工作时间要求≥99.5%；Web服务持续稳定工作时间≥3天（72小时）。</w:t>
            </w:r>
            <w:r>
              <w:rPr>
                <w:rFonts w:ascii="宋体" w:hAnsi="宋体"/>
                <w:color w:val="000000"/>
                <w:sz w:val="18"/>
                <w:szCs w:val="18"/>
              </w:rPr>
            </w:r>
            <w:r/>
          </w:p>
          <w:p>
            <w:pPr>
              <w:pStyle w:val="998"/>
              <w:numPr>
                <w:ilvl w:val="0"/>
                <w:numId w:val="17"/>
              </w:numPr>
              <w:jc w:val="left"/>
              <w:widowControl/>
              <w:rPr>
                <w:rFonts w:ascii="宋体" w:hAnsi="宋体"/>
                <w:color w:val="000000"/>
                <w:sz w:val="18"/>
                <w:szCs w:val="18"/>
              </w:rPr>
            </w:pPr>
            <w:r>
              <w:rPr>
                <w:rFonts w:ascii="宋体" w:hAnsi="宋体"/>
                <w:color w:val="000000"/>
                <w:sz w:val="18"/>
                <w:szCs w:val="18"/>
              </w:rPr>
              <w:t xml:space="preserve">系统建立全面的容错机制，保证不因任何软件故障而造成数据丢失等问题，保证软件出错后不影响其他模块的运行并自动恢复。系统质保期故障及时解决率≥95%。</w:t>
            </w:r>
            <w:r>
              <w:rPr>
                <w:rFonts w:ascii="宋体" w:hAnsi="宋体"/>
                <w:color w:val="000000"/>
                <w:sz w:val="18"/>
                <w:szCs w:val="18"/>
              </w:rPr>
            </w:r>
            <w:r/>
          </w:p>
        </w:tc>
      </w:tr>
      <w:tr>
        <w:trPr>
          <w:trHeight w:val="48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5</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扩展性要求</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8"/>
              </w:numPr>
              <w:jc w:val="left"/>
              <w:widowControl/>
              <w:rPr>
                <w:rFonts w:ascii="宋体" w:hAnsi="宋体"/>
                <w:color w:val="000000"/>
                <w:sz w:val="18"/>
                <w:szCs w:val="18"/>
              </w:rPr>
            </w:pPr>
            <w:r>
              <w:rPr>
                <w:rFonts w:ascii="宋体" w:hAnsi="宋体"/>
                <w:color w:val="000000"/>
                <w:sz w:val="18"/>
                <w:szCs w:val="18"/>
              </w:rPr>
              <w:t xml:space="preserve">规模可扩展。系统可以通过负载均衡和冗余设计保障整个系统多台设备间的协调运作，系统可以实现按业务所需的模块热插拔，使管理人员可以按照业务发展需要灵活增减、调整设备，可以通过增加服务器的方式实现性能的线性扩展。</w:t>
            </w:r>
            <w:r>
              <w:rPr>
                <w:rFonts w:ascii="宋体" w:hAnsi="宋体"/>
                <w:color w:val="000000"/>
                <w:sz w:val="18"/>
                <w:szCs w:val="18"/>
              </w:rPr>
            </w:r>
            <w:r/>
          </w:p>
          <w:p>
            <w:pPr>
              <w:pStyle w:val="998"/>
              <w:numPr>
                <w:ilvl w:val="0"/>
                <w:numId w:val="18"/>
              </w:numPr>
              <w:jc w:val="left"/>
              <w:widowControl/>
              <w:rPr>
                <w:rFonts w:ascii="宋体" w:hAnsi="宋体"/>
                <w:color w:val="000000"/>
                <w:sz w:val="18"/>
                <w:szCs w:val="18"/>
              </w:rPr>
            </w:pPr>
            <w:r>
              <w:rPr>
                <w:rFonts w:ascii="宋体" w:hAnsi="宋体"/>
                <w:color w:val="000000"/>
                <w:sz w:val="18"/>
                <w:szCs w:val="18"/>
              </w:rPr>
              <w:t xml:space="preserve">功能模块可扩展。系统能够根据支撑业务的发展需要不断进行平滑扩展，避免软件的大规模修改。采用开放的标准的架构，预留了丰富的二次开发接口，能够灵活的通过新增组件的方式实现系统功能的扩展，适应未来业务发展的需要。</w:t>
            </w:r>
            <w:r>
              <w:rPr>
                <w:rFonts w:ascii="宋体" w:hAnsi="宋体"/>
                <w:color w:val="000000"/>
                <w:sz w:val="18"/>
                <w:szCs w:val="18"/>
              </w:rPr>
            </w:r>
            <w:r/>
          </w:p>
          <w:p>
            <w:pPr>
              <w:pStyle w:val="998"/>
              <w:numPr>
                <w:ilvl w:val="0"/>
                <w:numId w:val="18"/>
              </w:numPr>
              <w:jc w:val="left"/>
              <w:widowControl/>
              <w:rPr>
                <w:rFonts w:ascii="宋体" w:hAnsi="宋体"/>
                <w:color w:val="000000"/>
                <w:sz w:val="18"/>
                <w:szCs w:val="18"/>
              </w:rPr>
            </w:pPr>
            <w:r>
              <w:rPr>
                <w:rFonts w:ascii="宋体" w:hAnsi="宋体"/>
                <w:color w:val="000000"/>
                <w:sz w:val="18"/>
                <w:szCs w:val="18"/>
              </w:rPr>
              <w:t xml:space="preserve">用户容量可扩展。能够根据用户访问量的增加，扩展容量。容量的扩展不影响现有的系统架构和业务开展。同时容量可扩展要求系统的容量限制仅仅受硬件条件限制，而不是受软件及授权等其他因素限制。</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ascii="宋体" w:hAnsi="宋体"/>
                <w:color w:val="000000"/>
                <w:sz w:val="18"/>
                <w:szCs w:val="18"/>
                <w:lang w:eastAsia="en-US"/>
              </w:rPr>
              <w:t xml:space="preserve">安全性要求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19"/>
              </w:numPr>
              <w:jc w:val="left"/>
              <w:widowControl/>
              <w:rPr>
                <w:rFonts w:ascii="宋体" w:hAnsi="宋体"/>
                <w:color w:val="000000"/>
                <w:sz w:val="18"/>
                <w:szCs w:val="18"/>
              </w:rPr>
            </w:pPr>
            <w:r>
              <w:rPr>
                <w:rFonts w:ascii="宋体" w:hAnsi="宋体"/>
                <w:color w:val="000000"/>
                <w:sz w:val="18"/>
                <w:szCs w:val="18"/>
              </w:rPr>
              <w:t xml:space="preserve">用户数据存储安全。系统的用户分为管理员及操作员，口令数据采用单向散列加密算法存储，通过重置而非找回口令的方式提高用户口令安全性，防止客户端机器被攻击非法获得中心系统访问权限，以及中心系统被入侵或内部作案获取数据库中的用户口令等重要数据。</w:t>
            </w:r>
            <w:r>
              <w:rPr>
                <w:rFonts w:ascii="宋体" w:hAnsi="宋体"/>
                <w:color w:val="000000"/>
                <w:sz w:val="18"/>
                <w:szCs w:val="18"/>
              </w:rPr>
            </w:r>
            <w:r/>
          </w:p>
          <w:p>
            <w:pPr>
              <w:pStyle w:val="998"/>
              <w:numPr>
                <w:ilvl w:val="0"/>
                <w:numId w:val="19"/>
              </w:numPr>
              <w:jc w:val="left"/>
              <w:widowControl/>
              <w:rPr>
                <w:rFonts w:ascii="宋体" w:hAnsi="宋体"/>
                <w:color w:val="000000"/>
                <w:sz w:val="18"/>
                <w:szCs w:val="18"/>
              </w:rPr>
            </w:pPr>
            <w:r>
              <w:rPr>
                <w:rFonts w:ascii="宋体" w:hAnsi="宋体"/>
                <w:color w:val="000000"/>
                <w:sz w:val="18"/>
                <w:szCs w:val="18"/>
              </w:rPr>
              <w:t xml:space="preserve">数据通讯安全。通信双方应约定密码算法，实现通信的机密性、完整性。</w:t>
            </w:r>
            <w:r>
              <w:rPr>
                <w:rFonts w:ascii="宋体" w:hAnsi="宋体"/>
                <w:color w:val="000000"/>
                <w:sz w:val="18"/>
                <w:szCs w:val="18"/>
              </w:rPr>
            </w:r>
            <w:r/>
          </w:p>
          <w:p>
            <w:pPr>
              <w:pStyle w:val="998"/>
              <w:numPr>
                <w:ilvl w:val="0"/>
                <w:numId w:val="19"/>
              </w:numPr>
              <w:jc w:val="left"/>
              <w:widowControl/>
              <w:rPr>
                <w:rFonts w:ascii="宋体" w:hAnsi="宋体"/>
                <w:color w:val="000000"/>
                <w:sz w:val="18"/>
                <w:szCs w:val="18"/>
              </w:rPr>
            </w:pPr>
            <w:r>
              <w:rPr>
                <w:rFonts w:ascii="宋体" w:hAnsi="宋体"/>
                <w:color w:val="000000"/>
                <w:sz w:val="18"/>
                <w:szCs w:val="18"/>
              </w:rPr>
              <w:t xml:space="preserve">系统安全特性、访问控制到页面级，本系统软件平台按照信息安全等级保护3级需求建设。</w:t>
            </w:r>
            <w:r>
              <w:rPr>
                <w:rFonts w:ascii="宋体" w:hAnsi="宋体"/>
                <w:color w:val="000000"/>
                <w:sz w:val="18"/>
                <w:szCs w:val="18"/>
              </w:rPr>
            </w:r>
            <w:r/>
          </w:p>
          <w:p>
            <w:pPr>
              <w:pStyle w:val="998"/>
              <w:numPr>
                <w:ilvl w:val="0"/>
                <w:numId w:val="19"/>
              </w:numPr>
              <w:jc w:val="left"/>
              <w:widowControl/>
              <w:rPr>
                <w:rFonts w:ascii="宋体" w:hAnsi="宋体"/>
                <w:color w:val="000000"/>
                <w:sz w:val="18"/>
                <w:szCs w:val="18"/>
              </w:rPr>
            </w:pPr>
            <w:r>
              <w:rPr>
                <w:rFonts w:ascii="宋体" w:hAnsi="宋体"/>
                <w:color w:val="000000"/>
                <w:sz w:val="18"/>
                <w:szCs w:val="18"/>
              </w:rPr>
              <w:t xml:space="preserve">系统密码安全。本项目应用系统建设需要符合国家商用密码应用安全性评估。</w:t>
            </w:r>
            <w:r>
              <w:rPr>
                <w:rFonts w:ascii="宋体" w:hAnsi="宋体"/>
                <w:color w:val="000000"/>
                <w:sz w:val="18"/>
                <w:szCs w:val="18"/>
              </w:rPr>
            </w:r>
            <w:r/>
          </w:p>
          <w:p>
            <w:pPr>
              <w:pStyle w:val="998"/>
              <w:numPr>
                <w:ilvl w:val="0"/>
                <w:numId w:val="19"/>
              </w:numPr>
              <w:jc w:val="left"/>
              <w:widowControl/>
              <w:rPr>
                <w:rFonts w:ascii="宋体" w:hAnsi="宋体"/>
                <w:color w:val="000000"/>
                <w:sz w:val="18"/>
                <w:szCs w:val="18"/>
              </w:rPr>
            </w:pPr>
            <w:r>
              <w:rPr>
                <w:rFonts w:ascii="宋体" w:hAnsi="宋体"/>
                <w:color w:val="000000"/>
                <w:sz w:val="18"/>
                <w:szCs w:val="18"/>
              </w:rPr>
              <w:t xml:space="preserve">网络安全风险评估。本项目应用系统建设需要通过风险评估。</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数据处理要求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20"/>
              </w:numPr>
              <w:jc w:val="left"/>
              <w:widowControl/>
              <w:rPr>
                <w:rFonts w:ascii="宋体" w:hAnsi="宋体"/>
                <w:color w:val="000000"/>
                <w:sz w:val="18"/>
                <w:szCs w:val="18"/>
              </w:rPr>
            </w:pPr>
            <w:r>
              <w:rPr>
                <w:rFonts w:hint="eastAsia" w:ascii="宋体" w:hAnsi="宋体"/>
                <w:color w:val="000000"/>
                <w:sz w:val="18"/>
                <w:szCs w:val="18"/>
              </w:rPr>
              <w:t xml:space="preserve">数据处理平台总体应分为采集引擎、处理引擎、分发引擎三大引擎，均支持横向扩展分布式部署。需通过多个计算节点共同处理任务，确保在大规模数据量下的高效处理和稳定性。</w:t>
            </w:r>
            <w:r>
              <w:rPr>
                <w:rFonts w:ascii="宋体" w:hAnsi="宋体"/>
                <w:color w:val="000000"/>
                <w:sz w:val="18"/>
                <w:szCs w:val="18"/>
              </w:rPr>
            </w:r>
            <w:r/>
          </w:p>
          <w:p>
            <w:pPr>
              <w:pStyle w:val="998"/>
              <w:numPr>
                <w:ilvl w:val="0"/>
                <w:numId w:val="20"/>
              </w:numPr>
              <w:jc w:val="left"/>
              <w:widowControl/>
              <w:rPr>
                <w:rFonts w:ascii="宋体" w:hAnsi="宋体"/>
                <w:color w:val="000000"/>
                <w:sz w:val="18"/>
                <w:szCs w:val="18"/>
              </w:rPr>
            </w:pPr>
            <w:r>
              <w:rPr>
                <w:rFonts w:hint="eastAsia" w:ascii="宋体" w:hAnsi="宋体"/>
                <w:color w:val="000000"/>
                <w:sz w:val="18"/>
                <w:szCs w:val="18"/>
              </w:rPr>
              <w:t xml:space="preserve">全民健康信息平台作为区域卫生信息化建设的重要组成部分，承载着居民电子健康档案、电子病历、公共卫生、基层医疗、医疗监管、医疗服务等多个应用系统的数据整合任务。平台需实现跨机构、跨区域的数据采集、传输、共享与存储，同时必须严格保障个人隐私和医疗数据安全。</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8</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敏感数据处理要求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隐私保护范围：作为集中式管理的庞大数据，首要工作是识别敏感信息的范围，在卫生健康领域主要涉及个人基本信息和关键事件信息，隐私保护范围需包括：个人基本信息、基本医疗记录、检验检查数据、治疗与用药信息、妇幼保健信息、计划免疫信息、其他信息。</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隐私保护策略：隐私保护策略需包含</w:t>
            </w:r>
            <w:r>
              <w:rPr>
                <w:rFonts w:hint="eastAsia" w:ascii="宋体" w:hAnsi="宋体" w:cs="仿宋"/>
                <w:sz w:val="18"/>
                <w:szCs w:val="18"/>
              </w:rPr>
              <w:t xml:space="preserve">多层级权限管理、个案查询场景脱敏、数据分析匿名化、加密传输通道、实施运维制度、安全审计日志等。</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s="仿宋"/>
                <w:sz w:val="18"/>
                <w:szCs w:val="18"/>
              </w:rPr>
              <w:t xml:space="preserve">隐私保护技术：隐私保护技术需包括国密加密算法、数据脱敏规则设置、数据管理权限分级等技术应用。</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数据脱敏框架：为构建全生命周期敏感数据保护体系，平台需建立分层分类的数据脱敏框架，覆盖数据采集、存储、传输、使用及共享全流程，确保隐私保护与业务需求平衡。</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跨机构数据协同机制：针对跨医疗机构、政府部门及第三方平台的数据共享需求，需建立安全可控的协同规则。</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隐私保护应急响应：为应对潜在数据泄露风险，需建立分级应急响应体系。</w:t>
            </w:r>
            <w:r>
              <w:rPr>
                <w:rFonts w:ascii="宋体" w:hAnsi="宋体"/>
                <w:color w:val="000000"/>
                <w:sz w:val="18"/>
                <w:szCs w:val="18"/>
              </w:rPr>
            </w:r>
            <w:r/>
          </w:p>
          <w:p>
            <w:pPr>
              <w:pStyle w:val="998"/>
              <w:numPr>
                <w:ilvl w:val="0"/>
                <w:numId w:val="21"/>
              </w:numPr>
              <w:jc w:val="left"/>
              <w:widowControl/>
              <w:rPr>
                <w:rFonts w:ascii="宋体" w:hAnsi="宋体"/>
                <w:color w:val="000000"/>
                <w:sz w:val="18"/>
                <w:szCs w:val="18"/>
              </w:rPr>
            </w:pPr>
            <w:r>
              <w:rPr>
                <w:rFonts w:hint="eastAsia" w:ascii="宋体" w:hAnsi="宋体"/>
                <w:color w:val="000000"/>
                <w:sz w:val="18"/>
                <w:szCs w:val="18"/>
              </w:rPr>
              <w:t xml:space="preserve">用户知情预授权管理：需强化居民对个人健康数据的控制权，实现透明化数据使用声明、动态授权机制和</w:t>
            </w:r>
            <w:r>
              <w:rPr>
                <w:rFonts w:hint="eastAsia" w:ascii="宋体" w:hAnsi="宋体" w:cs="仿宋"/>
                <w:sz w:val="18"/>
                <w:szCs w:val="18"/>
              </w:rPr>
              <w:t xml:space="preserve">授权记录可查。</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9</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存储系统要求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22"/>
              </w:numPr>
              <w:jc w:val="left"/>
              <w:widowControl/>
              <w:rPr>
                <w:rFonts w:ascii="宋体" w:hAnsi="宋体"/>
                <w:color w:val="000000"/>
                <w:sz w:val="18"/>
                <w:szCs w:val="18"/>
              </w:rPr>
            </w:pPr>
            <w:r>
              <w:rPr>
                <w:rFonts w:hint="eastAsia" w:ascii="宋体" w:hAnsi="宋体"/>
                <w:color w:val="000000"/>
                <w:sz w:val="18"/>
                <w:szCs w:val="18"/>
              </w:rPr>
              <w:t xml:space="preserve">考虑磁盘格式化损失，因此需预留一定的冗余空间。</w:t>
            </w:r>
            <w:r>
              <w:rPr>
                <w:rFonts w:ascii="宋体" w:hAnsi="宋体"/>
                <w:color w:val="000000"/>
                <w:sz w:val="18"/>
                <w:szCs w:val="18"/>
              </w:rPr>
            </w:r>
            <w:r/>
          </w:p>
          <w:p>
            <w:pPr>
              <w:pStyle w:val="998"/>
              <w:numPr>
                <w:ilvl w:val="0"/>
                <w:numId w:val="22"/>
              </w:numPr>
              <w:jc w:val="left"/>
              <w:widowControl/>
              <w:rPr>
                <w:rFonts w:ascii="宋体" w:hAnsi="宋体"/>
                <w:color w:val="000000"/>
                <w:sz w:val="18"/>
                <w:szCs w:val="18"/>
              </w:rPr>
            </w:pPr>
            <w:r>
              <w:rPr>
                <w:rFonts w:hint="eastAsia" w:ascii="宋体" w:hAnsi="宋体"/>
                <w:color w:val="000000"/>
                <w:sz w:val="18"/>
                <w:szCs w:val="18"/>
              </w:rPr>
              <w:t xml:space="preserve">对于长期数据存储，存储系统需具备扩容能力，支持未来3年内数据增长30%。</w:t>
            </w:r>
            <w:r>
              <w:rPr>
                <w:rFonts w:ascii="宋体" w:hAnsi="宋体"/>
                <w:color w:val="000000"/>
                <w:sz w:val="18"/>
                <w:szCs w:val="18"/>
              </w:rPr>
            </w:r>
            <w:r/>
          </w:p>
          <w:p>
            <w:pPr>
              <w:pStyle w:val="998"/>
              <w:numPr>
                <w:ilvl w:val="0"/>
                <w:numId w:val="22"/>
              </w:numPr>
              <w:jc w:val="left"/>
              <w:widowControl/>
              <w:rPr>
                <w:rFonts w:ascii="宋体" w:hAnsi="宋体"/>
                <w:color w:val="000000"/>
                <w:sz w:val="18"/>
                <w:szCs w:val="18"/>
              </w:rPr>
            </w:pPr>
            <w:r>
              <w:rPr>
                <w:rFonts w:hint="eastAsia" w:ascii="宋体" w:hAnsi="宋体"/>
                <w:color w:val="000000"/>
                <w:sz w:val="18"/>
                <w:szCs w:val="18"/>
              </w:rPr>
              <w:t xml:space="preserve">系统将采用分布式集群部署方式，计算和存储资源通过分布式架构进行统一管理。</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10</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数据库并发性能要求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全民健康信息平台需支撑全市医疗机构日常运营、日均大量门诊就诊、百万级居民健康档案查询，以及公共卫生数据批量统计等高频业务。为解决高并发场景下数据库响应缓慢、读写拥堵、资源争抢等问题，需通过数据库并发设计以保障业务连续性、提升数据处理效率为核心，确保数据库能平稳应对各类业务高峰，满足医疗服务与公共卫生管理的高效数据需求。</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11</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备份系统要求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围绕全民健康信息平台核心业务数据（电子病历、健康档案、检验检查结果、公共卫生数据等），需构建“分层分类备份、按需恢复、安全可控”的备份体系，实现三大目标：一是保障数据完整性，备份覆盖率达 100%；二是确保恢复有效性，关键业务数据恢复成功率≥99.9%，RTO（恢复时间目标）≤4小时；三是规避备份风险，杜绝备份数据泄露、损坏或失效。</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12</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系统整合要求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本次项目需基于南通市全民健康信息平台，实现平台与南通市医疗机构依法执业自我管理系统、南通市医疗服务多元化信息系统、南通市职业健康体检系统、南通市药品采购目录审核与使用监管系统、南通市远程会诊管理平台、南通市生育登记信息系统（一次性奖励扶持）、市基层疾病分级服务平台、南通市电子票据信息系统、南通市基层结核病管理系统、南通市干部保健系统的整合。实现统一的身份认证、统一的界面风格标准和统一的接口服务规范。</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13</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统一身份认证要求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实现本次建设范围内的10个相关业务系统和全民健康信息平台使用同一个身份进行认证和授权，避免用户在不同系统中重复注册、登录和操作，提高用户体验和效率，提高系统安全性和管理效率。</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14</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统一界面风格标准要求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本次项目建设，需遵循统一的UI设计规范，重构各个子系统交互界面，统一视觉风格、导航结构及组件库，确保跨系统操作体验一致性。</w:t>
            </w:r>
            <w:r>
              <w:rPr>
                <w:rFonts w:ascii="宋体" w:hAnsi="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15</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lang w:eastAsia="en-US"/>
              </w:rPr>
            </w:pPr>
            <w:r>
              <w:rPr>
                <w:rFonts w:hint="eastAsia" w:ascii="宋体" w:hAnsi="宋体"/>
                <w:color w:val="000000"/>
                <w:sz w:val="18"/>
                <w:szCs w:val="18"/>
                <w:lang w:eastAsia="en-US"/>
              </w:rPr>
              <w:t xml:space="preserve">统一接口服务规范要求</w:t>
            </w:r>
            <w:r>
              <w:rPr>
                <w:rFonts w:ascii="宋体" w:hAnsi="宋体"/>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jc w:val="left"/>
              <w:widowControl/>
              <w:rPr>
                <w:rFonts w:ascii="宋体" w:hAnsi="宋体"/>
                <w:color w:val="000000"/>
                <w:sz w:val="18"/>
                <w:szCs w:val="18"/>
              </w:rPr>
            </w:pPr>
            <w:r>
              <w:rPr>
                <w:rFonts w:hint="eastAsia" w:ascii="宋体" w:hAnsi="宋体"/>
                <w:color w:val="000000"/>
                <w:sz w:val="18"/>
                <w:szCs w:val="18"/>
              </w:rPr>
              <w:t xml:space="preserve">整合后的全民健康信息平台，需对所有对外服务接口按平台标准进行封装，通过平台实现API网关注册、发布及管理，支持接口版本控制、流量监控与安全认证。</w:t>
            </w:r>
            <w:r>
              <w:rPr>
                <w:rFonts w:ascii="宋体" w:hAnsi="宋体"/>
                <w:color w:val="000000"/>
                <w:sz w:val="18"/>
                <w:szCs w:val="18"/>
              </w:rPr>
            </w:r>
            <w:r/>
          </w:p>
        </w:tc>
      </w:tr>
      <w:tr>
        <w:trPr>
          <w:trHeight w:val="725"/>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998"/>
              <w:jc w:val="center"/>
              <w:widowControl/>
              <w:rPr>
                <w:rFonts w:ascii="宋体" w:hAnsi="宋体"/>
                <w:color w:val="000000"/>
                <w:sz w:val="18"/>
                <w:szCs w:val="18"/>
              </w:rPr>
            </w:pPr>
            <w:r>
              <w:rPr>
                <w:rFonts w:hint="eastAsia" w:ascii="宋体" w:hAnsi="宋体"/>
                <w:color w:val="000000"/>
                <w:sz w:val="18"/>
                <w:szCs w:val="18"/>
              </w:rPr>
              <w:t xml:space="preserve">16</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594" w:type="dxa"/>
            <w:vAlign w:val="center"/>
            <w:textDirection w:val="lrTb"/>
            <w:noWrap/>
          </w:tcPr>
          <w:p>
            <w:pPr>
              <w:pStyle w:val="998"/>
              <w:jc w:val="center"/>
              <w:widowControl/>
              <w:rPr>
                <w:rFonts w:ascii="宋体" w:hAnsi="宋体"/>
                <w:color w:val="000000"/>
                <w:sz w:val="18"/>
                <w:szCs w:val="18"/>
              </w:rPr>
            </w:pPr>
            <w:r>
              <w:rPr>
                <w:rFonts w:ascii="宋体" w:hAnsi="宋体"/>
                <w:color w:val="000000"/>
                <w:sz w:val="18"/>
                <w:szCs w:val="18"/>
              </w:rPr>
              <w:t xml:space="preserve">其他要求</w:t>
            </w: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4090" w:type="dxa"/>
            <w:vAlign w:val="center"/>
            <w:textDirection w:val="lrTb"/>
            <w:noWrap w:val="false"/>
          </w:tcPr>
          <w:p>
            <w:pPr>
              <w:pStyle w:val="998"/>
              <w:numPr>
                <w:ilvl w:val="0"/>
                <w:numId w:val="23"/>
              </w:numPr>
              <w:jc w:val="left"/>
              <w:widowControl/>
              <w:rPr>
                <w:rFonts w:ascii="宋体" w:hAnsi="宋体"/>
                <w:color w:val="000000"/>
                <w:sz w:val="18"/>
                <w:szCs w:val="18"/>
              </w:rPr>
            </w:pPr>
            <w:r>
              <w:rPr>
                <w:rFonts w:ascii="宋体" w:hAnsi="宋体"/>
                <w:color w:val="000000"/>
                <w:sz w:val="18"/>
                <w:szCs w:val="18"/>
              </w:rPr>
              <w:t xml:space="preserve">代码规范。对应用程序代码进行代码复审流程、对应用程序代码进行安全脆弱性分析和穿透性测试流程、通过严格的代码复审等等，识别可能存在的恶意代码。</w:t>
            </w:r>
            <w:r>
              <w:rPr>
                <w:rFonts w:ascii="宋体" w:hAnsi="宋体"/>
                <w:color w:val="000000"/>
                <w:sz w:val="18"/>
                <w:szCs w:val="18"/>
              </w:rPr>
            </w:r>
            <w:r/>
          </w:p>
          <w:p>
            <w:pPr>
              <w:pStyle w:val="998"/>
              <w:numPr>
                <w:ilvl w:val="0"/>
                <w:numId w:val="23"/>
              </w:numPr>
              <w:jc w:val="left"/>
              <w:widowControl/>
              <w:rPr>
                <w:rFonts w:ascii="宋体" w:hAnsi="宋体"/>
                <w:color w:val="000000"/>
                <w:sz w:val="18"/>
                <w:szCs w:val="18"/>
              </w:rPr>
            </w:pPr>
            <w:r>
              <w:rPr>
                <w:rFonts w:ascii="宋体" w:hAnsi="宋体"/>
                <w:color w:val="000000"/>
                <w:sz w:val="18"/>
                <w:szCs w:val="18"/>
              </w:rPr>
              <w:t xml:space="preserve">数据共享。系统产生的数据按照南通市政务共享交换平台要求实现数据有条件共享。</w:t>
            </w:r>
            <w:r>
              <w:rPr>
                <w:rFonts w:ascii="宋体" w:hAnsi="宋体"/>
                <w:color w:val="000000"/>
                <w:sz w:val="18"/>
                <w:szCs w:val="18"/>
              </w:rPr>
            </w:r>
            <w:r/>
          </w:p>
        </w:tc>
      </w:tr>
    </w:tbl>
    <w:p>
      <w:pPr>
        <w:pStyle w:val="998"/>
        <w:spacing w:line="500" w:lineRule="exact"/>
        <w:rPr>
          <w:rFonts w:eastAsia="等线"/>
        </w:rPr>
      </w:pPr>
      <w:r>
        <w:rPr>
          <w:rFonts w:eastAsia="等线"/>
        </w:rPr>
      </w:r>
      <w:r/>
    </w:p>
    <w:p>
      <w:pPr>
        <w:pStyle w:val="998"/>
        <w:numPr>
          <w:ilvl w:val="0"/>
          <w:numId w:val="13"/>
        </w:numPr>
        <w:ind w:firstLine="482"/>
        <w:spacing w:line="0" w:lineRule="atLeast"/>
        <w:rPr>
          <w:rFonts w:hint="eastAsia" w:eastAsia="方正仿宋_GBK"/>
          <w:b/>
          <w:bCs/>
          <w:sz w:val="24"/>
          <w:szCs w:val="24"/>
        </w:rPr>
      </w:pPr>
      <w:r>
        <w:rPr>
          <w:rFonts w:eastAsia="方正仿宋_GBK"/>
          <w:b/>
          <w:bCs/>
          <w:sz w:val="24"/>
          <w:szCs w:val="24"/>
        </w:rPr>
        <w:t xml:space="preserve">采购标的的数量、采购项目交付或者实施的时间和地点；</w:t>
      </w:r>
      <w:r>
        <w:rPr>
          <w:rFonts w:hint="eastAsia" w:eastAsia="方正仿宋_GBK"/>
          <w:b/>
          <w:bCs/>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924"/>
        <w:gridCol w:w="1984"/>
        <w:gridCol w:w="2247"/>
      </w:tblGrid>
      <w:tr>
        <w:trPr>
          <w:cantSplit/>
          <w:trHeight w:val="291"/>
        </w:trPr>
        <w:tc>
          <w:tcPr>
            <w:tcW w:w="553" w:type="dxa"/>
            <w:vAlign w:val="center"/>
            <w:textDirection w:val="lrTb"/>
            <w:noWrap w:val="false"/>
          </w:tcPr>
          <w:p>
            <w:pPr>
              <w:pStyle w:val="998"/>
              <w:jc w:val="center"/>
              <w:spacing w:before="156" w:line="280" w:lineRule="exact"/>
              <w:widowControl/>
              <w:rPr>
                <w:rFonts w:ascii="宋体" w:hAnsi="宋体"/>
                <w:b/>
                <w:bCs/>
                <w:color w:val="000000"/>
                <w:sz w:val="18"/>
                <w:szCs w:val="18"/>
              </w:rPr>
            </w:pPr>
            <w:r>
              <w:rPr>
                <w:rFonts w:ascii="宋体" w:hAnsi="宋体"/>
                <w:b/>
                <w:bCs/>
                <w:color w:val="000000"/>
                <w:sz w:val="18"/>
                <w:szCs w:val="18"/>
              </w:rPr>
              <w:t xml:space="preserve">序号</w:t>
            </w:r>
            <w:r>
              <w:rPr>
                <w:rFonts w:ascii="宋体" w:hAnsi="宋体"/>
                <w:b/>
                <w:bCs/>
                <w:color w:val="000000"/>
                <w:sz w:val="18"/>
                <w:szCs w:val="18"/>
              </w:rPr>
            </w:r>
            <w:r/>
          </w:p>
        </w:tc>
        <w:tc>
          <w:tcPr>
            <w:tcW w:w="2140" w:type="dxa"/>
            <w:vAlign w:val="center"/>
            <w:textDirection w:val="lrTb"/>
            <w:noWrap w:val="false"/>
          </w:tcPr>
          <w:p>
            <w:pPr>
              <w:pStyle w:val="998"/>
              <w:jc w:val="center"/>
              <w:spacing w:before="156" w:line="280" w:lineRule="exact"/>
              <w:widowControl/>
              <w:rPr>
                <w:rFonts w:ascii="宋体" w:hAnsi="宋体"/>
                <w:b/>
                <w:bCs/>
                <w:color w:val="000000"/>
                <w:sz w:val="18"/>
                <w:szCs w:val="18"/>
              </w:rPr>
            </w:pPr>
            <w:r>
              <w:rPr>
                <w:rFonts w:hint="eastAsia" w:ascii="宋体" w:hAnsi="宋体"/>
                <w:b/>
                <w:bCs/>
                <w:color w:val="000000"/>
                <w:sz w:val="18"/>
                <w:szCs w:val="18"/>
              </w:rPr>
              <w:t xml:space="preserve">采购标的</w:t>
            </w:r>
            <w:r>
              <w:rPr>
                <w:rFonts w:ascii="宋体" w:hAnsi="宋体"/>
                <w:b/>
                <w:bCs/>
                <w:color w:val="000000"/>
                <w:sz w:val="18"/>
                <w:szCs w:val="18"/>
              </w:rPr>
            </w:r>
            <w:r/>
          </w:p>
        </w:tc>
        <w:tc>
          <w:tcPr>
            <w:tcW w:w="1082" w:type="dxa"/>
            <w:vAlign w:val="center"/>
            <w:textDirection w:val="lrTb"/>
            <w:noWrap w:val="false"/>
          </w:tcPr>
          <w:p>
            <w:pPr>
              <w:pStyle w:val="998"/>
              <w:ind w:firstLine="361"/>
              <w:jc w:val="center"/>
              <w:spacing w:before="156" w:line="280" w:lineRule="exact"/>
              <w:widowControl/>
              <w:rPr>
                <w:rFonts w:ascii="宋体" w:hAnsi="宋体"/>
                <w:b/>
                <w:bCs/>
                <w:color w:val="000000"/>
                <w:sz w:val="18"/>
                <w:szCs w:val="18"/>
              </w:rPr>
            </w:pPr>
            <w:r>
              <w:rPr>
                <w:rFonts w:hint="eastAsia" w:ascii="宋体" w:hAnsi="宋体"/>
                <w:b/>
                <w:bCs/>
                <w:color w:val="000000"/>
                <w:sz w:val="18"/>
                <w:szCs w:val="18"/>
              </w:rPr>
              <w:t xml:space="preserve">单位</w:t>
            </w:r>
            <w:r>
              <w:rPr>
                <w:rFonts w:ascii="宋体" w:hAnsi="宋体"/>
                <w:b/>
                <w:bCs/>
                <w:color w:val="000000"/>
                <w:sz w:val="18"/>
                <w:szCs w:val="18"/>
              </w:rPr>
            </w:r>
            <w:r/>
          </w:p>
        </w:tc>
        <w:tc>
          <w:tcPr>
            <w:tcW w:w="1226" w:type="dxa"/>
            <w:vAlign w:val="center"/>
            <w:textDirection w:val="lrTb"/>
            <w:noWrap w:val="false"/>
          </w:tcPr>
          <w:p>
            <w:pPr>
              <w:pStyle w:val="998"/>
              <w:ind w:firstLine="361"/>
              <w:jc w:val="center"/>
              <w:spacing w:before="156" w:line="280" w:lineRule="exact"/>
              <w:widowControl/>
              <w:rPr>
                <w:rFonts w:ascii="宋体" w:hAnsi="宋体"/>
                <w:b/>
                <w:bCs/>
                <w:color w:val="000000"/>
                <w:sz w:val="18"/>
                <w:szCs w:val="18"/>
              </w:rPr>
            </w:pPr>
            <w:r>
              <w:rPr>
                <w:rFonts w:hint="eastAsia" w:ascii="宋体" w:hAnsi="宋体"/>
                <w:b/>
                <w:bCs/>
                <w:color w:val="000000"/>
                <w:sz w:val="18"/>
                <w:szCs w:val="18"/>
              </w:rPr>
              <w:t xml:space="preserve">数量</w:t>
            </w:r>
            <w:r>
              <w:rPr>
                <w:rFonts w:ascii="宋体" w:hAnsi="宋体"/>
                <w:b/>
                <w:bCs/>
                <w:color w:val="000000"/>
                <w:sz w:val="18"/>
                <w:szCs w:val="18"/>
              </w:rPr>
            </w:r>
            <w:r/>
          </w:p>
        </w:tc>
      </w:tr>
      <w:tr>
        <w:trPr>
          <w:cantSplit/>
          <w:trHeight w:val="291"/>
        </w:trPr>
        <w:tc>
          <w:tcPr>
            <w:tcW w:w="553" w:type="dxa"/>
            <w:vAlign w:val="top"/>
            <w:textDirection w:val="lrTb"/>
            <w:noWrap w:val="false"/>
          </w:tcPr>
          <w:p>
            <w:pPr>
              <w:pStyle w:val="998"/>
              <w:ind w:firstLine="360"/>
              <w:jc w:val="center"/>
              <w:spacing w:line="500" w:lineRule="exact"/>
              <w:widowControl/>
              <w:rPr>
                <w:rFonts w:ascii="宋体" w:hAnsi="宋体"/>
                <w:sz w:val="18"/>
                <w:szCs w:val="18"/>
              </w:rPr>
            </w:pPr>
            <w:r>
              <w:rPr>
                <w:rFonts w:ascii="宋体" w:hAnsi="宋体"/>
                <w:sz w:val="18"/>
                <w:szCs w:val="18"/>
              </w:rPr>
              <w:t xml:space="preserve">1</w:t>
            </w:r>
            <w:r>
              <w:rPr>
                <w:rFonts w:ascii="宋体" w:hAnsi="宋体"/>
                <w:sz w:val="18"/>
                <w:szCs w:val="18"/>
              </w:rPr>
            </w:r>
            <w:r/>
          </w:p>
        </w:tc>
        <w:tc>
          <w:tcPr>
            <w:tcW w:w="2140" w:type="dxa"/>
            <w:vAlign w:val="top"/>
            <w:textDirection w:val="lrTb"/>
            <w:noWrap w:val="false"/>
          </w:tcPr>
          <w:p>
            <w:pPr>
              <w:pStyle w:val="998"/>
              <w:jc w:val="center"/>
              <w:spacing w:line="500" w:lineRule="exact"/>
              <w:widowControl/>
              <w:rPr>
                <w:rFonts w:ascii="宋体" w:hAnsi="宋体"/>
                <w:sz w:val="18"/>
                <w:szCs w:val="18"/>
              </w:rPr>
            </w:pPr>
            <w:r>
              <w:rPr>
                <w:rFonts w:hint="eastAsia" w:ascii="宋体" w:hAnsi="宋体"/>
                <w:sz w:val="18"/>
                <w:szCs w:val="18"/>
              </w:rPr>
              <w:t xml:space="preserve">南通市卫生健康委员会2</w:t>
            </w:r>
            <w:r>
              <w:rPr>
                <w:rFonts w:ascii="宋体" w:hAnsi="宋体"/>
                <w:sz w:val="18"/>
                <w:szCs w:val="18"/>
              </w:rPr>
              <w:t xml:space="preserve">025</w:t>
            </w:r>
            <w:r>
              <w:rPr>
                <w:rFonts w:hint="eastAsia" w:ascii="宋体" w:hAnsi="宋体"/>
                <w:sz w:val="18"/>
                <w:szCs w:val="18"/>
              </w:rPr>
              <w:t xml:space="preserve">年系统改造项目</w:t>
            </w:r>
            <w:r>
              <w:rPr>
                <w:rFonts w:ascii="宋体" w:hAnsi="宋体"/>
                <w:sz w:val="18"/>
                <w:szCs w:val="18"/>
              </w:rPr>
            </w:r>
            <w:r/>
          </w:p>
        </w:tc>
        <w:tc>
          <w:tcPr>
            <w:tcW w:w="1082" w:type="dxa"/>
            <w:vAlign w:val="top"/>
            <w:textDirection w:val="lrTb"/>
            <w:noWrap w:val="false"/>
          </w:tcPr>
          <w:p>
            <w:pPr>
              <w:pStyle w:val="998"/>
              <w:ind w:firstLine="360"/>
              <w:jc w:val="center"/>
              <w:spacing w:line="500" w:lineRule="exact"/>
              <w:widowControl/>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W w:w="1226" w:type="dxa"/>
            <w:vAlign w:val="top"/>
            <w:textDirection w:val="lrTb"/>
            <w:noWrap w:val="false"/>
          </w:tcPr>
          <w:p>
            <w:pPr>
              <w:pStyle w:val="998"/>
              <w:ind w:firstLine="360"/>
              <w:jc w:val="center"/>
              <w:spacing w:line="500" w:lineRule="exact"/>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r>
    </w:tbl>
    <w:p>
      <w:pPr>
        <w:pStyle w:val="1010"/>
        <w:rPr>
          <w:rFonts w:hint="eastAsia"/>
          <w:lang w:eastAsia="zh-CN"/>
        </w:rPr>
      </w:pPr>
      <w:r>
        <w:rPr>
          <w:rFonts w:hint="eastAsia"/>
          <w:lang w:eastAsia="zh-CN"/>
        </w:r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采购标的需满足的服务标准、期限、效率等要求；</w:t>
      </w:r>
      <w:bookmarkStart w:id="206" w:name="_Toc121997787"/>
      <w:r>
        <w:rPr>
          <w:rFonts w:eastAsia="方正仿宋_GBK"/>
          <w:b/>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5.1服务标准</w:t>
      </w:r>
      <w:bookmarkEnd w:id="206"/>
      <w:r>
        <w:rPr>
          <w:rFonts w:ascii="楷体" w:hAnsi="楷体" w:eastAsia="楷体"/>
          <w:b/>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1）服务厂商应制定相应建设管理、运维管理、维护工作流程、服务方案、响应流程等制度，建立健全的沟通管理机制，确保项目建设工作和维护工作正常、良好、有效开展。包括但不限于建设及维护报告制度、例会制度、故障上报制度、定期汇报制度等。</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2）服务厂商在实施至验收阶段需提供不少于5人的5（天）*8（小时）专业驻场服务，项目整体建设团队规模不少于6人。驻场服务人员需相对固定，如有变动须提前一个月告知。驻场服务人员上下班时间根据用户现场要求，进出现场要求着装大方整洁，遵守现场工作规范。</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3）服务商在项目验收后的免运期内需要提供不少于3人的5（天）*8（小时）运维驻场服务，提供日常系统运维保障工作。驻场服务人员需相对固定，如有变动须提前一个月告知。驻场服务人员上下班时间根据用户现场要求，进出现场要求着装大方整洁，遵守现场工作规范。</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（4）保障平台日常运行，发现故障第一时间响应并处理，响应时间参见本章节“3.服务响应时间”。建立故障报告单，对上报故障内容进行记录。若无法短时解决故障需尽快</w:t>
      </w:r>
      <w:r>
        <w:rPr>
          <w:rFonts w:hint="eastAsia" w:eastAsia="方正仿宋_GBK"/>
          <w:bCs/>
          <w:sz w:val="24"/>
          <w:szCs w:val="24"/>
        </w:rPr>
        <w:t xml:space="preserve">告知项目建设单位</w:t>
      </w:r>
      <w:r>
        <w:rPr>
          <w:rFonts w:eastAsia="方正仿宋_GBK"/>
          <w:bCs/>
          <w:sz w:val="24"/>
          <w:szCs w:val="24"/>
        </w:rPr>
        <w:t xml:space="preserve">，协调相关部门及协作厂商排除故障。</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（5）驻场人员对涉及卫健委数据资产有保密义务和责任，入场后需单独签署并遵守保密协议。</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（6）三级等保支撑服务。</w:t>
      </w:r>
      <w:r>
        <w:rPr>
          <w:rFonts w:hint="eastAsia" w:eastAsia="方正仿宋_GBK"/>
          <w:bCs/>
          <w:sz w:val="24"/>
          <w:szCs w:val="24"/>
        </w:rPr>
        <w:t xml:space="preserve">投标人或软件厂商须</w:t>
      </w:r>
      <w:r>
        <w:rPr>
          <w:rFonts w:eastAsia="方正仿宋_GBK"/>
          <w:bCs/>
          <w:sz w:val="24"/>
          <w:szCs w:val="24"/>
        </w:rPr>
        <w:t xml:space="preserve">配合等保测评单位提供免费的支撑服务。包括：软件系统部分的风险修复。</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（7）商用密码应用服务。投标人或软件厂商须根据项目建设单位指定环境</w:t>
      </w:r>
      <w:r>
        <w:rPr>
          <w:rFonts w:eastAsia="方正仿宋_GBK"/>
          <w:bCs/>
          <w:sz w:val="24"/>
          <w:szCs w:val="24"/>
        </w:rPr>
        <w:t xml:space="preserve">配合</w:t>
      </w:r>
      <w:r>
        <w:rPr>
          <w:rFonts w:hint="eastAsia" w:eastAsia="方正仿宋_GBK"/>
          <w:bCs/>
          <w:sz w:val="24"/>
          <w:szCs w:val="24"/>
        </w:rPr>
        <w:t xml:space="preserve">做好商用密码应用改造，提供所需资料。</w:t>
      </w:r>
      <w:r>
        <w:rPr>
          <w:rFonts w:eastAsia="方正仿宋_GBK"/>
          <w:bCs/>
          <w:sz w:val="24"/>
          <w:szCs w:val="24"/>
        </w:rPr>
      </w:r>
      <w:r/>
    </w:p>
    <w:p>
      <w:pPr>
        <w:pStyle w:val="998"/>
        <w:ind w:firstLine="480"/>
        <w:spacing w:line="0" w:lineRule="atLeast"/>
        <w:rPr>
          <w:rFonts w:eastAsia="方正仿宋_GBK"/>
          <w:bCs/>
          <w:sz w:val="24"/>
          <w:szCs w:val="24"/>
        </w:rPr>
      </w:pPr>
      <w:r>
        <w:rPr>
          <w:rFonts w:hint="eastAsia" w:eastAsia="方正仿宋_GBK"/>
          <w:bCs/>
          <w:sz w:val="24"/>
          <w:szCs w:val="24"/>
        </w:rPr>
        <w:t xml:space="preserve">（</w:t>
      </w:r>
      <w:r>
        <w:rPr>
          <w:rFonts w:eastAsia="方正仿宋_GBK"/>
          <w:bCs/>
          <w:sz w:val="24"/>
          <w:szCs w:val="24"/>
        </w:rPr>
        <w:t xml:space="preserve">8</w:t>
      </w:r>
      <w:r>
        <w:rPr>
          <w:rFonts w:hint="eastAsia" w:eastAsia="方正仿宋_GBK"/>
          <w:bCs/>
          <w:sz w:val="24"/>
          <w:szCs w:val="24"/>
        </w:rPr>
        <w:t xml:space="preserve">）风险评估应用服务。投标人或软件厂商须根据项目建设风险评估要求支持改造，提供所需资料。</w:t>
      </w:r>
      <w:r>
        <w:rPr>
          <w:rFonts w:eastAsia="方正仿宋_GBK"/>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5.2 服务期限</w:t>
      </w:r>
      <w:r>
        <w:rPr>
          <w:rFonts w:ascii="楷体" w:hAnsi="楷体" w:eastAsia="楷体"/>
          <w:b/>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本项目建设实施服务期限为12个月，在项目验收后提供2年的免费运维。</w:t>
      </w:r>
      <w:r>
        <w:rPr>
          <w:rFonts w:eastAsia="方正仿宋_GBK"/>
          <w:bCs/>
          <w:sz w:val="24"/>
          <w:szCs w:val="24"/>
        </w:rPr>
      </w:r>
      <w:r/>
    </w:p>
    <w:p>
      <w:pPr>
        <w:pStyle w:val="998"/>
        <w:ind w:firstLine="482"/>
        <w:jc w:val="left"/>
        <w:spacing w:line="500" w:lineRule="exact"/>
        <w:rPr>
          <w:rFonts w:ascii="楷体" w:hAnsi="楷体" w:eastAsia="楷体"/>
          <w:b/>
          <w:bCs/>
          <w:sz w:val="24"/>
          <w:szCs w:val="24"/>
        </w:rPr>
        <w:outlineLvl w:val="3"/>
      </w:pPr>
      <w:r>
        <w:rPr>
          <w:rFonts w:ascii="楷体" w:hAnsi="楷体" w:eastAsia="楷体"/>
          <w:b/>
          <w:bCs/>
          <w:sz w:val="24"/>
          <w:szCs w:val="24"/>
        </w:rPr>
        <w:t xml:space="preserve">5.3</w:t>
      </w:r>
      <w:bookmarkStart w:id="207" w:name="_Toc121997789"/>
      <w:r>
        <w:rPr>
          <w:rFonts w:ascii="楷体" w:hAnsi="楷体" w:eastAsia="楷体"/>
          <w:b/>
          <w:bCs/>
          <w:sz w:val="24"/>
          <w:szCs w:val="24"/>
        </w:rPr>
        <w:t xml:space="preserve"> 服务响应时间</w:t>
      </w:r>
      <w:bookmarkEnd w:id="207"/>
      <w:r>
        <w:rPr>
          <w:rFonts w:ascii="楷体" w:hAnsi="楷体" w:eastAsia="楷体"/>
          <w:b/>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（1）故障级别的定义</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一级故障：系统停机或对用户的全部业务运作有重大影响。</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二级故障：系统的操作性能严重降级或对用户的重要业务运作有不良影响。</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三级故障：系统的操作性能受损，但用户的大部分业务运作仍可正常工作。</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四级故障：对业务方面的咨询需求，对用户的业务运作无影响。</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（2）响应时间要求</w:t>
      </w:r>
      <w:r>
        <w:rPr>
          <w:rFonts w:eastAsia="方正仿宋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1834"/>
        <w:gridCol w:w="1834"/>
        <w:gridCol w:w="1834"/>
        <w:gridCol w:w="1834"/>
      </w:tblGrid>
      <w:tr>
        <w:trPr/>
        <w:tc>
          <w:tcPr>
            <w:shd w:val="clear" w:color="auto" w:fill="d0cece"/>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故障确认</w:t>
            </w:r>
            <w:r>
              <w:rPr>
                <w:rFonts w:hint="eastAsia"/>
                <w:sz w:val="21"/>
                <w:szCs w:val="21"/>
                <w:lang w:eastAsia="zh-CN"/>
              </w:rPr>
            </w:r>
            <w:r/>
          </w:p>
        </w:tc>
        <w:tc>
          <w:tcPr>
            <w:shd w:val="clear" w:color="auto" w:fill="d0cece"/>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一级故障</w:t>
            </w:r>
            <w:r>
              <w:rPr>
                <w:rFonts w:hint="eastAsia"/>
                <w:sz w:val="21"/>
                <w:szCs w:val="21"/>
                <w:lang w:eastAsia="zh-CN"/>
              </w:rPr>
            </w:r>
            <w:r/>
          </w:p>
        </w:tc>
        <w:tc>
          <w:tcPr>
            <w:shd w:val="clear" w:color="auto" w:fill="d0cece"/>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二级故障</w:t>
            </w:r>
            <w:r>
              <w:rPr>
                <w:rFonts w:hint="eastAsia"/>
                <w:sz w:val="21"/>
                <w:szCs w:val="21"/>
                <w:lang w:eastAsia="zh-CN"/>
              </w:rPr>
            </w:r>
            <w:r/>
          </w:p>
        </w:tc>
        <w:tc>
          <w:tcPr>
            <w:shd w:val="clear" w:color="auto" w:fill="d0cece"/>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三级故障</w:t>
            </w:r>
            <w:r>
              <w:rPr>
                <w:rFonts w:hint="eastAsia"/>
                <w:sz w:val="21"/>
                <w:szCs w:val="21"/>
                <w:lang w:eastAsia="zh-CN"/>
              </w:rPr>
            </w:r>
            <w:r/>
          </w:p>
        </w:tc>
        <w:tc>
          <w:tcPr>
            <w:shd w:val="clear" w:color="auto" w:fill="d0cece"/>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四级故障</w:t>
            </w:r>
            <w:r>
              <w:rPr>
                <w:rFonts w:hint="eastAsia"/>
                <w:sz w:val="21"/>
                <w:szCs w:val="21"/>
                <w:lang w:eastAsia="zh-CN"/>
              </w:rPr>
            </w:r>
            <w:r/>
          </w:p>
        </w:tc>
      </w:tr>
      <w:tr>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1小时</w:t>
            </w:r>
            <w:r>
              <w:rPr>
                <w:rFonts w:hint="eastAsia"/>
                <w:sz w:val="21"/>
                <w:szCs w:val="21"/>
                <w:lang w:eastAsia="zh-CN"/>
              </w:rPr>
            </w:r>
            <w:r/>
          </w:p>
        </w:tc>
        <w:tc>
          <w:tcPr>
            <w:tcW w:w="1834" w:type="dxa"/>
            <w:vAlign w:val="center"/>
            <w:textDirection w:val="lrTb"/>
            <w:noWrap w:val="false"/>
          </w:tcPr>
          <w:p>
            <w:pPr>
              <w:pStyle w:val="1010"/>
              <w:ind w:firstLine="0"/>
              <w:rPr>
                <w:rFonts w:hint="eastAsia"/>
                <w:sz w:val="21"/>
                <w:szCs w:val="21"/>
                <w:lang w:eastAsia="zh-CN"/>
              </w:rPr>
            </w:pPr>
            <w:r>
              <w:rPr>
                <w:rFonts w:eastAsia="方正仿宋_GBK"/>
                <w:bCs/>
                <w:sz w:val="21"/>
                <w:szCs w:val="21"/>
              </w:rPr>
              <w:t xml:space="preserve">响应</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r>
      <w:tr>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2小时</w:t>
            </w:r>
            <w:r>
              <w:rPr>
                <w:rFonts w:hint="eastAsia"/>
                <w:sz w:val="21"/>
                <w:szCs w:val="21"/>
                <w:lang w:eastAsia="zh-CN"/>
              </w:rPr>
            </w:r>
            <w:r/>
          </w:p>
        </w:tc>
        <w:tc>
          <w:tcPr>
            <w:tcW w:w="1834" w:type="dxa"/>
            <w:vAlign w:val="center"/>
            <w:textDirection w:val="lrTb"/>
            <w:noWrap w:val="false"/>
          </w:tcPr>
          <w:p>
            <w:pPr>
              <w:pStyle w:val="1010"/>
              <w:ind w:firstLine="0"/>
              <w:rPr>
                <w:rFonts w:hint="eastAsia"/>
                <w:sz w:val="21"/>
                <w:szCs w:val="21"/>
                <w:lang w:eastAsia="zh-CN"/>
              </w:rPr>
            </w:pPr>
            <w:r>
              <w:rPr>
                <w:rFonts w:eastAsia="方正仿宋_GBK"/>
                <w:bCs/>
                <w:sz w:val="21"/>
                <w:szCs w:val="21"/>
              </w:rPr>
              <w:t xml:space="preserve">到场排查问题</w:t>
            </w:r>
            <w:r>
              <w:rPr>
                <w:rFonts w:hint="eastAsia"/>
                <w:sz w:val="21"/>
                <w:szCs w:val="21"/>
                <w:lang w:eastAsia="zh-CN"/>
              </w:rPr>
            </w:r>
            <w:r/>
          </w:p>
        </w:tc>
        <w:tc>
          <w:tcPr>
            <w:tcW w:w="1834" w:type="dxa"/>
            <w:vAlign w:val="center"/>
            <w:textDirection w:val="lrTb"/>
            <w:noWrap w:val="false"/>
          </w:tcPr>
          <w:p>
            <w:pPr>
              <w:pStyle w:val="1010"/>
              <w:ind w:firstLine="0"/>
              <w:rPr>
                <w:rFonts w:hint="eastAsia"/>
                <w:sz w:val="21"/>
                <w:szCs w:val="21"/>
                <w:lang w:eastAsia="zh-CN"/>
              </w:rPr>
            </w:pPr>
            <w:r>
              <w:rPr>
                <w:rFonts w:eastAsia="方正仿宋_GBK"/>
                <w:bCs/>
                <w:sz w:val="21"/>
                <w:szCs w:val="21"/>
              </w:rPr>
              <w:t xml:space="preserve">响应</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相应</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r>
      <w:tr>
        <w:trPr>
          <w:cantSplit/>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4小时</w:t>
            </w:r>
            <w:r>
              <w:rPr>
                <w:rFonts w:hint="eastAsia"/>
                <w:sz w:val="21"/>
                <w:szCs w:val="21"/>
                <w:lang w:eastAsia="zh-CN"/>
              </w:rPr>
            </w:r>
            <w:r/>
          </w:p>
        </w:tc>
        <w:tc>
          <w:tcPr>
            <w:tcW w:w="1834" w:type="dxa"/>
            <w:vAlign w:val="center"/>
            <w:textDirection w:val="lrTb"/>
            <w:noWrap w:val="false"/>
          </w:tcPr>
          <w:p>
            <w:pPr>
              <w:pStyle w:val="1010"/>
              <w:ind w:firstLine="0"/>
              <w:rPr>
                <w:rFonts w:hint="eastAsia"/>
                <w:sz w:val="21"/>
                <w:szCs w:val="21"/>
                <w:lang w:eastAsia="zh-CN"/>
              </w:rPr>
            </w:pPr>
            <w:r>
              <w:rPr>
                <w:rFonts w:eastAsia="方正仿宋_GBK"/>
                <w:bCs/>
                <w:sz w:val="21"/>
                <w:szCs w:val="21"/>
              </w:rPr>
              <w:t xml:space="preserve">解决问题</w:t>
            </w:r>
            <w:r>
              <w:rPr>
                <w:rFonts w:hint="eastAsia"/>
                <w:sz w:val="21"/>
                <w:szCs w:val="21"/>
                <w:lang w:eastAsia="zh-CN"/>
              </w:rPr>
            </w:r>
            <w:r/>
          </w:p>
        </w:tc>
        <w:tc>
          <w:tcPr>
            <w:tcW w:w="1834" w:type="dxa"/>
            <w:vAlign w:val="center"/>
            <w:vMerge w:val="restart"/>
            <w:textDirection w:val="lrTb"/>
            <w:noWrap w:val="false"/>
          </w:tcPr>
          <w:p>
            <w:pPr>
              <w:pStyle w:val="1010"/>
              <w:ind w:firstLine="0"/>
              <w:rPr>
                <w:rFonts w:eastAsia="方正仿宋_GBK"/>
                <w:bCs/>
                <w:sz w:val="21"/>
                <w:szCs w:val="21"/>
              </w:rPr>
            </w:pPr>
            <w:r>
              <w:rPr>
                <w:rFonts w:eastAsia="方正仿宋_GBK"/>
                <w:bCs/>
                <w:sz w:val="21"/>
                <w:szCs w:val="21"/>
              </w:rPr>
              <w:t xml:space="preserve">排查问题、</w:t>
            </w:r>
            <w:r>
              <w:rPr>
                <w:rFonts w:eastAsia="方正仿宋_GBK"/>
                <w:bCs/>
                <w:sz w:val="21"/>
                <w:szCs w:val="21"/>
              </w:rPr>
            </w:r>
            <w:r/>
          </w:p>
          <w:p>
            <w:pPr>
              <w:pStyle w:val="1010"/>
              <w:ind w:firstLine="0"/>
              <w:rPr>
                <w:rFonts w:hint="eastAsia"/>
                <w:sz w:val="21"/>
                <w:szCs w:val="21"/>
                <w:lang w:eastAsia="zh-CN"/>
              </w:rPr>
            </w:pPr>
            <w:r>
              <w:rPr>
                <w:rFonts w:eastAsia="方正仿宋_GBK"/>
                <w:bCs/>
                <w:sz w:val="21"/>
                <w:szCs w:val="21"/>
              </w:rPr>
              <w:t xml:space="preserve">解决问题</w:t>
            </w:r>
            <w:r>
              <w:rPr>
                <w:rFonts w:hint="eastAsia"/>
                <w:sz w:val="21"/>
                <w:szCs w:val="21"/>
                <w:lang w:eastAsia="zh-CN"/>
              </w:rPr>
            </w:r>
            <w:r/>
          </w:p>
        </w:tc>
        <w:tc>
          <w:tcPr>
            <w:tcW w:w="1834" w:type="dxa"/>
            <w:vAlign w:val="top"/>
            <w:vMerge w:val="restart"/>
            <w:textDirection w:val="lrTb"/>
            <w:noWrap w:val="false"/>
          </w:tcPr>
          <w:p>
            <w:pPr>
              <w:pStyle w:val="1010"/>
              <w:ind w:firstLine="0"/>
              <w:rPr>
                <w:rFonts w:eastAsia="方正仿宋_GBK"/>
                <w:bCs/>
                <w:sz w:val="21"/>
                <w:szCs w:val="21"/>
              </w:rPr>
            </w:pPr>
            <w:r>
              <w:rPr>
                <w:rFonts w:eastAsia="方正仿宋_GBK"/>
                <w:bCs/>
                <w:sz w:val="21"/>
                <w:szCs w:val="21"/>
              </w:rPr>
              <w:t xml:space="preserve">排查问题、</w:t>
            </w:r>
            <w:r>
              <w:rPr>
                <w:rFonts w:eastAsia="方正仿宋_GBK"/>
                <w:bCs/>
                <w:sz w:val="21"/>
                <w:szCs w:val="21"/>
              </w:rPr>
            </w:r>
            <w:r/>
          </w:p>
          <w:p>
            <w:pPr>
              <w:pStyle w:val="1010"/>
              <w:ind w:firstLine="0"/>
              <w:rPr>
                <w:rFonts w:hint="eastAsia"/>
                <w:sz w:val="21"/>
                <w:szCs w:val="21"/>
                <w:lang w:eastAsia="zh-CN"/>
              </w:rPr>
            </w:pPr>
            <w:r>
              <w:rPr>
                <w:rFonts w:eastAsia="方正仿宋_GBK"/>
                <w:bCs/>
                <w:sz w:val="21"/>
                <w:szCs w:val="21"/>
              </w:rPr>
              <w:t xml:space="preserve">解决问题</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响应</w:t>
            </w:r>
            <w:r>
              <w:rPr>
                <w:rFonts w:hint="eastAsia"/>
                <w:sz w:val="21"/>
                <w:szCs w:val="21"/>
                <w:lang w:eastAsia="zh-CN"/>
              </w:rPr>
            </w:r>
            <w:r/>
          </w:p>
        </w:tc>
      </w:tr>
      <w:tr>
        <w:trPr>
          <w:cantSplit/>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8小时</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center"/>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restart"/>
            <w:textDirection w:val="lrTb"/>
            <w:noWrap w:val="false"/>
          </w:tcPr>
          <w:p>
            <w:pPr>
              <w:pStyle w:val="1010"/>
              <w:ind w:firstLine="0"/>
              <w:rPr>
                <w:rFonts w:hint="eastAsia" w:eastAsia="方正仿宋_GBK"/>
                <w:bCs/>
                <w:sz w:val="21"/>
                <w:szCs w:val="21"/>
                <w:lang w:eastAsia="zh-CN"/>
              </w:rPr>
            </w:pPr>
            <w:r>
              <w:rPr>
                <w:rFonts w:eastAsia="方正仿宋_GBK"/>
                <w:bCs/>
                <w:sz w:val="21"/>
                <w:szCs w:val="21"/>
                <w:lang w:eastAsia="zh-CN"/>
              </w:rPr>
              <w:t xml:space="preserve">排查问题、解决问题（可远程）</w:t>
            </w:r>
            <w:r>
              <w:rPr>
                <w:rFonts w:hint="eastAsia" w:eastAsia="方正仿宋_GBK"/>
                <w:bCs/>
                <w:sz w:val="21"/>
                <w:szCs w:val="21"/>
                <w:lang w:eastAsia="zh-CN"/>
              </w:rPr>
            </w:r>
            <w:r/>
          </w:p>
        </w:tc>
      </w:tr>
      <w:tr>
        <w:trPr>
          <w:cantSplit/>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1</w:t>
            </w:r>
            <w:r>
              <w:rPr>
                <w:sz w:val="21"/>
                <w:szCs w:val="21"/>
                <w:lang w:eastAsia="zh-CN"/>
              </w:rPr>
              <w:t xml:space="preserve">2</w:t>
            </w:r>
            <w:r>
              <w:rPr>
                <w:rFonts w:hint="eastAsia"/>
                <w:sz w:val="21"/>
                <w:szCs w:val="21"/>
                <w:lang w:eastAsia="zh-CN"/>
              </w:rPr>
              <w:t xml:space="preserve">小时</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r>
      <w:tr>
        <w:trPr>
          <w:cantSplit/>
        </w:trPr>
        <w:tc>
          <w:tcPr>
            <w:tcW w:w="1833" w:type="dxa"/>
            <w:vAlign w:val="top"/>
            <w:textDirection w:val="lrTb"/>
            <w:noWrap w:val="false"/>
          </w:tcPr>
          <w:p>
            <w:pPr>
              <w:pStyle w:val="1010"/>
              <w:ind w:firstLine="0"/>
              <w:rPr>
                <w:rFonts w:hint="eastAsia"/>
                <w:sz w:val="21"/>
                <w:szCs w:val="21"/>
                <w:lang w:eastAsia="zh-CN"/>
              </w:rPr>
            </w:pPr>
            <w:r>
              <w:rPr>
                <w:rFonts w:hint="eastAsia"/>
                <w:sz w:val="21"/>
                <w:szCs w:val="21"/>
                <w:lang w:eastAsia="zh-CN"/>
              </w:rPr>
              <w:t xml:space="preserve">2</w:t>
            </w:r>
            <w:r>
              <w:rPr>
                <w:sz w:val="21"/>
                <w:szCs w:val="21"/>
                <w:lang w:eastAsia="zh-CN"/>
              </w:rPr>
              <w:t xml:space="preserve">4</w:t>
            </w:r>
            <w:r>
              <w:rPr>
                <w:rFonts w:hint="eastAsia"/>
                <w:sz w:val="21"/>
                <w:szCs w:val="21"/>
                <w:lang w:eastAsia="zh-CN"/>
              </w:rPr>
              <w:t xml:space="preserve">小时</w:t>
            </w: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c>
          <w:tcPr>
            <w:tcW w:w="1834" w:type="dxa"/>
            <w:vAlign w:val="top"/>
            <w:vMerge w:val="continue"/>
            <w:textDirection w:val="lrTb"/>
            <w:noWrap w:val="false"/>
          </w:tcPr>
          <w:p>
            <w:pPr>
              <w:pStyle w:val="1010"/>
              <w:ind w:firstLine="0"/>
              <w:rPr>
                <w:rFonts w:hint="eastAsia"/>
                <w:sz w:val="21"/>
                <w:szCs w:val="21"/>
                <w:lang w:eastAsia="zh-CN"/>
              </w:rPr>
            </w:pPr>
            <w:r>
              <w:rPr>
                <w:rFonts w:hint="eastAsia"/>
                <w:sz w:val="21"/>
                <w:szCs w:val="21"/>
                <w:lang w:eastAsia="zh-CN"/>
              </w:rPr>
            </w:r>
            <w:r/>
          </w:p>
        </w:tc>
      </w:tr>
    </w:tbl>
    <w:p>
      <w:pPr>
        <w:pStyle w:val="998"/>
        <w:ind w:firstLine="480"/>
        <w:spacing w:line="0" w:lineRule="atLeast"/>
        <w:rPr>
          <w:rFonts w:eastAsia="方正仿宋_GBK"/>
          <w:bCs/>
          <w:sz w:val="24"/>
          <w:szCs w:val="24"/>
        </w:rPr>
      </w:pPr>
      <w:r>
        <w:rPr>
          <w:rFonts w:eastAsia="方正仿宋_GBK"/>
          <w:bCs/>
          <w:sz w:val="24"/>
          <w:szCs w:val="24"/>
        </w:rPr>
        <w:t xml:space="preserve">（3）应急响应要求</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服务方提供7*24小时应急支撑响应，并</w:t>
      </w:r>
      <w:r>
        <w:rPr>
          <w:rFonts w:hint="eastAsia" w:eastAsia="方正仿宋_GBK"/>
          <w:bCs/>
          <w:sz w:val="24"/>
          <w:szCs w:val="24"/>
        </w:rPr>
        <w:t xml:space="preserve">确保</w:t>
      </w:r>
      <w:r>
        <w:rPr>
          <w:rFonts w:eastAsia="方正仿宋_GBK"/>
          <w:bCs/>
          <w:sz w:val="24"/>
          <w:szCs w:val="24"/>
        </w:rPr>
        <w:t xml:space="preserve">在收到甲方的服务请求起30分钟内</w:t>
      </w:r>
      <w:r>
        <w:rPr>
          <w:rFonts w:hint="eastAsia" w:eastAsia="方正仿宋_GBK"/>
          <w:bCs/>
          <w:sz w:val="24"/>
          <w:szCs w:val="24"/>
        </w:rPr>
        <w:t xml:space="preserve">响应</w:t>
      </w:r>
      <w:r>
        <w:rPr>
          <w:rFonts w:eastAsia="方正仿宋_GBK"/>
          <w:bCs/>
          <w:sz w:val="24"/>
          <w:szCs w:val="24"/>
        </w:rPr>
        <w:t xml:space="preserve">，若电话咨询服务形式不能解决问题</w:t>
      </w:r>
      <w:r>
        <w:rPr>
          <w:rFonts w:hint="eastAsia" w:eastAsia="方正仿宋_GBK"/>
          <w:bCs/>
          <w:sz w:val="24"/>
          <w:szCs w:val="24"/>
        </w:rPr>
        <w:t xml:space="preserve">，</w:t>
      </w:r>
      <w:r>
        <w:rPr>
          <w:rFonts w:eastAsia="方正仿宋_GBK"/>
          <w:bCs/>
          <w:sz w:val="24"/>
          <w:szCs w:val="24"/>
        </w:rPr>
        <w:t xml:space="preserve">1小时内到达现场处理问题，4小时内恢复系统，提供故障报告。</w:t>
      </w:r>
      <w:r>
        <w:rPr>
          <w:rFonts w:eastAsia="方正仿宋_GBK"/>
          <w:bCs/>
          <w:sz w:val="24"/>
          <w:szCs w:val="24"/>
        </w:r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采购标的的验收标准；</w:t>
      </w:r>
      <w:r>
        <w:rPr>
          <w:rFonts w:eastAsia="方正仿宋_GBK"/>
          <w:b/>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整体项目验收根据《市政府办公室关于印发南通市市级政务信息化项目管理办法的通知》（通政办发〔2021〕53号）要求，组织专家进行评审验收，需要在验收前提交验收文档，包含项目过程文档，不限于项目需求说明、概要设计、详细设计、数据库设计、系统测试报告、培训资料、试运行报告等以及项目监理报告等。</w:t>
      </w:r>
      <w:r>
        <w:rPr>
          <w:rFonts w:eastAsia="方正仿宋_GBK"/>
          <w:bCs/>
          <w:sz w:val="24"/>
          <w:szCs w:val="24"/>
        </w:rPr>
      </w:r>
      <w:r/>
    </w:p>
    <w:p>
      <w:pPr>
        <w:pStyle w:val="998"/>
        <w:numPr>
          <w:ilvl w:val="0"/>
          <w:numId w:val="13"/>
        </w:numPr>
        <w:ind w:firstLine="482"/>
        <w:spacing w:line="0" w:lineRule="atLeast"/>
        <w:rPr>
          <w:rFonts w:eastAsia="方正仿宋_GBK"/>
          <w:b/>
          <w:bCs/>
          <w:sz w:val="24"/>
          <w:szCs w:val="24"/>
        </w:rPr>
      </w:pPr>
      <w:r>
        <w:rPr>
          <w:rFonts w:eastAsia="方正仿宋_GBK"/>
          <w:b/>
          <w:bCs/>
          <w:sz w:val="24"/>
          <w:szCs w:val="24"/>
        </w:rPr>
        <w:t xml:space="preserve">采购标的的其他技术、服务等要求；</w:t>
      </w:r>
      <w:r>
        <w:rPr>
          <w:rFonts w:eastAsia="方正仿宋_GBK"/>
          <w:b/>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为保障</w:t>
      </w:r>
      <w:r>
        <w:rPr>
          <w:rFonts w:hint="eastAsia" w:eastAsia="方正仿宋_GBK"/>
          <w:bCs/>
          <w:sz w:val="24"/>
          <w:szCs w:val="24"/>
        </w:rPr>
        <w:t xml:space="preserve">本次项目建设</w:t>
      </w:r>
      <w:r>
        <w:rPr>
          <w:rFonts w:eastAsia="方正仿宋_GBK"/>
          <w:bCs/>
          <w:sz w:val="24"/>
          <w:szCs w:val="24"/>
        </w:rPr>
        <w:t xml:space="preserve">的正常开展，以及现有全民健康信息平台</w:t>
      </w:r>
      <w:r>
        <w:rPr>
          <w:rFonts w:hint="eastAsia" w:eastAsia="方正仿宋_GBK"/>
          <w:bCs/>
          <w:sz w:val="24"/>
          <w:szCs w:val="24"/>
        </w:rPr>
        <w:t xml:space="preserve">和各相关信息系统</w:t>
      </w:r>
      <w:r>
        <w:rPr>
          <w:rFonts w:eastAsia="方正仿宋_GBK"/>
          <w:bCs/>
          <w:sz w:val="24"/>
          <w:szCs w:val="24"/>
        </w:rPr>
        <w:t xml:space="preserve">的正常运行，在符合招标文件要求前提下，投标公司应充分了解</w:t>
      </w:r>
      <w:r>
        <w:rPr>
          <w:rFonts w:hint="eastAsia" w:eastAsia="方正仿宋_GBK"/>
          <w:bCs/>
          <w:sz w:val="24"/>
          <w:szCs w:val="24"/>
        </w:rPr>
        <w:t xml:space="preserve">本次项目建设范围内的南通市</w:t>
      </w:r>
      <w:r>
        <w:rPr>
          <w:rFonts w:eastAsia="方正仿宋_GBK"/>
          <w:bCs/>
          <w:sz w:val="24"/>
          <w:szCs w:val="24"/>
        </w:rPr>
        <w:t xml:space="preserve">全民健康信息平台</w:t>
      </w:r>
      <w:r>
        <w:rPr>
          <w:rFonts w:hint="eastAsia" w:eastAsia="方正仿宋_GBK"/>
          <w:bCs/>
          <w:sz w:val="24"/>
          <w:szCs w:val="24"/>
        </w:rPr>
        <w:t xml:space="preserve">和相关信息系统</w:t>
      </w:r>
      <w:r>
        <w:rPr>
          <w:rFonts w:eastAsia="方正仿宋_GBK"/>
          <w:bCs/>
          <w:sz w:val="24"/>
          <w:szCs w:val="24"/>
        </w:rPr>
        <w:t xml:space="preserve">现状。结合公司自身经验能力，需在技术方案中提供具有针对性的信息化及业务现状分析、建设框架、功能设计、建设计划、服务人员安排、服务方案、培训工作等具体内容，方案文件具有可操作性；</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项目技术方案中需要对项目的实施计划、里程碑、项目风险控制等有对应的计划方案；</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项目技术方案中需要提供完整的培训方案，包括：培训计划、内容、方式等；</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项目技术方案中需要提供售后服务方案，包括：服务方式、服务内容、服务周期、人员安排、服务等级支撑力度等；</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售后服务期要求。投标人需承诺整个项目售后免费服务期为2年，售后服务期自项目验收通过之日起开始计算；</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投标人报价应包含在售后服务期内根据用户方需求对软件升级服务费用、及服务期结束后软件维护费用；</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投标人需承诺完全开放项目开发过程中过程资料包括不限于软件源代码、数据库结构等给用户方。</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投标人在本项目软件系统免费售后服务与技术支持服务到期前，涉及到的第三方接口对接不再另外向采购人收取费用。</w:t>
      </w:r>
      <w:r>
        <w:rPr>
          <w:rFonts w:eastAsia="方正仿宋_GBK"/>
          <w:bCs/>
          <w:sz w:val="24"/>
          <w:szCs w:val="24"/>
        </w:rPr>
      </w:r>
      <w:r/>
    </w:p>
    <w:p>
      <w:pPr>
        <w:pStyle w:val="998"/>
        <w:ind w:firstLine="482"/>
        <w:spacing w:line="0" w:lineRule="atLeast"/>
        <w:rPr>
          <w:rFonts w:eastAsia="方正仿宋_GBK"/>
          <w:bCs/>
          <w:sz w:val="24"/>
          <w:szCs w:val="24"/>
        </w:rPr>
      </w:pPr>
      <w:r>
        <w:rPr>
          <w:rFonts w:eastAsia="方正仿宋_GBK"/>
          <w:b/>
          <w:bCs/>
          <w:sz w:val="24"/>
          <w:szCs w:val="24"/>
        </w:rPr>
        <w:t xml:space="preserve">8、演示要求</w:t>
      </w:r>
      <w:r>
        <w:rPr>
          <w:rFonts w:eastAsia="方正仿宋_GBK"/>
          <w:bCs/>
          <w:sz w:val="24"/>
          <w:szCs w:val="24"/>
        </w:rPr>
      </w:r>
      <w:r/>
    </w:p>
    <w:p>
      <w:pPr>
        <w:pStyle w:val="998"/>
        <w:ind w:firstLine="480"/>
        <w:spacing w:line="0" w:lineRule="atLeast"/>
        <w:rPr>
          <w:rFonts w:eastAsia="方正仿宋_GBK"/>
          <w:bCs/>
          <w:sz w:val="24"/>
          <w:szCs w:val="24"/>
        </w:rPr>
      </w:pPr>
      <w:r>
        <w:rPr>
          <w:rFonts w:eastAsia="方正仿宋_GBK"/>
          <w:bCs/>
          <w:sz w:val="24"/>
          <w:szCs w:val="24"/>
        </w:rPr>
        <w:t xml:space="preserve">演示方式</w:t>
      </w:r>
      <w:r>
        <w:rPr>
          <w:rFonts w:hint="eastAsia" w:eastAsia="方正仿宋_GBK"/>
          <w:bCs/>
          <w:sz w:val="24"/>
          <w:szCs w:val="24"/>
          <w:lang w:eastAsia="zh-CN"/>
        </w:rPr>
        <w:t xml:space="preserve">：</w:t>
      </w:r>
      <w:r>
        <w:rPr>
          <w:rFonts w:eastAsia="方正仿宋_GBK"/>
          <w:bCs/>
          <w:sz w:val="24"/>
          <w:szCs w:val="24"/>
        </w:rPr>
        <w:t xml:space="preserve">上传视频演示</w:t>
      </w:r>
      <w:r>
        <w:rPr>
          <w:rFonts w:eastAsia="方正仿宋_GBK"/>
          <w:bCs/>
          <w:sz w:val="24"/>
          <w:szCs w:val="24"/>
        </w:rPr>
      </w:r>
      <w:r/>
    </w:p>
    <w:p>
      <w:pPr>
        <w:pStyle w:val="998"/>
        <w:ind w:firstLine="480"/>
        <w:spacing w:line="0" w:lineRule="atLeast"/>
        <w:rPr>
          <w:rFonts w:eastAsia="方正仿宋_GBK"/>
          <w:sz w:val="24"/>
        </w:rPr>
      </w:pPr>
      <w:r/>
      <w:bookmarkStart w:id="208" w:name="OLE_LINK1"/>
      <w:r>
        <w:rPr>
          <w:rFonts w:eastAsia="方正仿宋_GBK"/>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eastAsia="方正仿宋_GBK"/>
          <w:sz w:val="24"/>
          <w:highlight w:val="none"/>
          <w:u w:val="single"/>
        </w:rPr>
        <w:t xml:space="preserve">10</w:t>
      </w:r>
      <w:r>
        <w:rPr>
          <w:rFonts w:eastAsia="方正仿宋_GBK"/>
          <w:sz w:val="24"/>
          <w:highlight w:val="none"/>
        </w:rPr>
        <w:t xml:space="preserve">分钟</w:t>
      </w:r>
      <w:r>
        <w:rPr>
          <w:rFonts w:hint="eastAsia" w:eastAsia="方正仿宋_GBK"/>
          <w:sz w:val="24"/>
          <w:highlight w:val="none"/>
        </w:rPr>
        <w:t xml:space="preserve">。</w:t>
      </w:r>
      <w:r>
        <w:rPr>
          <w:rFonts w:eastAsia="方正仿宋_GBK"/>
          <w:sz w:val="24"/>
        </w:rPr>
      </w:r>
      <w:r/>
    </w:p>
    <w:p>
      <w:pPr>
        <w:pStyle w:val="998"/>
        <w:ind w:firstLine="480"/>
        <w:spacing w:line="0" w:lineRule="atLeast"/>
        <w:rPr>
          <w:rFonts w:eastAsia="方正仿宋_GBK"/>
          <w:sz w:val="24"/>
        </w:rPr>
      </w:pPr>
      <w:r/>
      <w:bookmarkEnd w:id="208"/>
      <w:r>
        <w:rPr>
          <w:rFonts w:eastAsia="方正仿宋_GBK"/>
          <w:sz w:val="24"/>
        </w:rPr>
        <w:t xml:space="preserve">（2）演示内容如下：</w:t>
      </w:r>
      <w:r>
        <w:rPr>
          <w:rFonts w:eastAsia="方正仿宋_GBK"/>
          <w:sz w:val="24"/>
        </w:rPr>
      </w:r>
      <w:r/>
    </w:p>
    <w:p>
      <w:pPr>
        <w:pStyle w:val="998"/>
        <w:ind w:firstLine="480"/>
        <w:spacing w:line="0" w:lineRule="atLeast"/>
        <w:rPr>
          <w:rFonts w:hint="eastAsia" w:eastAsia="方正仿宋_GBK"/>
          <w:sz w:val="24"/>
        </w:rPr>
      </w:pPr>
      <w:r>
        <w:rPr>
          <w:rFonts w:hint="eastAsia" w:eastAsia="方正仿宋_GBK"/>
          <w:sz w:val="24"/>
        </w:rPr>
        <w:t xml:space="preserve">1）通信总线服务演示</w:t>
      </w:r>
      <w:r>
        <w:rPr>
          <w:rFonts w:hint="eastAsia"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①支持 API 发布功能，可提交服务列表至 API 网关并反馈发布结果，支持 API 编排功能，可通过可视化工具实现多 API 流程化组合与复杂逻辑配置；</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②支持 API 订阅申请、 API 订阅审批功能，订阅者可查看待审批/已通过/已拒绝的申请状态并支持主动撤销未生效的订阅；</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2）健康档案调阅演示</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①演示医院端及中心端浏览界面，展示全生命周期内的居民健康情况；</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②需包含基本信息组装、诊疗摘要组装、公卫摘要组装、预防接种组装、健康体检组装及首页整合组装服务，实现居民健康信息的结构化展示与明细数据扩展访问；</w:t>
      </w:r>
      <w:r>
        <w:rPr>
          <w:rFonts w:eastAsia="方正仿宋_GBK"/>
          <w:sz w:val="24"/>
        </w:rPr>
        <w:t xml:space="preserve"> </w:t>
      </w:r>
      <w:r>
        <w:rPr>
          <w:rFonts w:eastAsia="方正仿宋_GBK"/>
          <w:sz w:val="24"/>
        </w:rPr>
      </w:r>
      <w:r/>
    </w:p>
    <w:p>
      <w:pPr>
        <w:pStyle w:val="998"/>
        <w:ind w:firstLine="480"/>
        <w:spacing w:line="0" w:lineRule="atLeast"/>
        <w:rPr>
          <w:rFonts w:eastAsia="方正仿宋_GBK"/>
          <w:sz w:val="24"/>
        </w:rPr>
      </w:pPr>
      <w:r/>
      <w:bookmarkStart w:id="209" w:name="OLE_LINK7"/>
      <w:r>
        <w:rPr>
          <w:rFonts w:hint="eastAsia" w:eastAsia="方正仿宋_GBK"/>
          <w:sz w:val="24"/>
        </w:rPr>
        <w:t xml:space="preserve">3）实时数据交换演示</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①采集引擎支持实时采集能力，实时采集方式支持 HTTP、KAFKA、CDC 采集等方式；</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②处理引擎支持数据转换（支持 JSON、 XML、 SOAP三种协议的互转），支持数据映射、第三方服务调用、数据拆分、数据过滤、条件判断等功能</w:t>
      </w:r>
      <w:bookmarkStart w:id="210" w:name="OLE_LINK9"/>
      <w:r>
        <w:rPr>
          <w:rFonts w:hint="eastAsia" w:eastAsia="方正仿宋_GBK"/>
          <w:sz w:val="24"/>
        </w:rPr>
        <w:t xml:space="preserve">；</w:t>
      </w:r>
      <w:r>
        <w:rPr>
          <w:rFonts w:eastAsia="方正仿宋_GBK"/>
          <w:sz w:val="24"/>
        </w:rPr>
      </w:r>
      <w:r/>
    </w:p>
    <w:p>
      <w:pPr>
        <w:pStyle w:val="998"/>
        <w:ind w:firstLine="480"/>
        <w:spacing w:line="0" w:lineRule="atLeast"/>
        <w:rPr>
          <w:rFonts w:eastAsia="方正仿宋_GBK"/>
          <w:sz w:val="24"/>
        </w:rPr>
      </w:pPr>
      <w:r/>
      <w:bookmarkEnd w:id="209"/>
      <w:r/>
      <w:bookmarkEnd w:id="210"/>
      <w:r>
        <w:rPr>
          <w:rFonts w:hint="eastAsia" w:eastAsia="方正仿宋_GBK"/>
          <w:sz w:val="24"/>
        </w:rPr>
        <w:t xml:space="preserve">4）统一登录认证演示</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①支持用户一次注册、多系统免重复登录；</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②单点登录需实现集中式权限控制与身份验证，代理认证需实现全民健康信息平台业务系统用户统一管控与平台帐户映射，由平台权限系统集中管理。</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5）“1+</w:t>
      </w:r>
      <w:r>
        <w:rPr>
          <w:rFonts w:eastAsia="方正仿宋_GBK"/>
          <w:sz w:val="24"/>
        </w:rPr>
        <w:t xml:space="preserve">6</w:t>
      </w:r>
      <w:r>
        <w:rPr>
          <w:rFonts w:hint="eastAsia" w:eastAsia="方正仿宋_GBK"/>
          <w:sz w:val="24"/>
        </w:rPr>
        <w:t xml:space="preserve">”张图大屏演示</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①演示总体概览大屏，需包括全市情况的综合展示，支持地图机构撒点标记与基础信息定位展示，支持通过图表展示指标数据、分类排名、占比及同比环比情况；</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②演示卫生资源、医疗服务、公共卫生、合理用药、妇幼保健大屏展示内容；</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③演示多元化监管大屏，需涵盖整体态势、风险预警、机构运行、监管执法、社会监督、传染病监管看板内容；</w:t>
      </w:r>
      <w:r>
        <w:rPr>
          <w:rFonts w:eastAsia="方正仿宋_GBK"/>
          <w:sz w:val="24"/>
        </w:rPr>
      </w:r>
      <w:r/>
    </w:p>
    <w:p>
      <w:pPr>
        <w:pStyle w:val="998"/>
        <w:ind w:firstLine="480"/>
        <w:spacing w:line="0" w:lineRule="atLeast"/>
        <w:rPr>
          <w:rFonts w:eastAsia="方正仿宋_GBK"/>
          <w:sz w:val="24"/>
        </w:rPr>
      </w:pPr>
      <w:r>
        <w:rPr>
          <w:rFonts w:hint="eastAsia" w:eastAsia="方正仿宋_GBK"/>
          <w:sz w:val="24"/>
        </w:rPr>
        <w:t xml:space="preserve">④演示生育登记大屏内容；</w:t>
      </w:r>
      <w:r>
        <w:rPr>
          <w:rFonts w:eastAsia="方正仿宋_GBK"/>
          <w:sz w:val="24"/>
        </w:rPr>
      </w:r>
      <w:r/>
    </w:p>
    <w:p>
      <w:pPr>
        <w:pStyle w:val="998"/>
        <w:ind w:firstLine="482"/>
        <w:spacing w:line="0" w:lineRule="atLeast"/>
        <w:rPr>
          <w:rFonts w:eastAsia="方正仿宋_GBK"/>
          <w:b/>
          <w:bCs/>
          <w:sz w:val="24"/>
          <w:szCs w:val="24"/>
        </w:rPr>
      </w:pPr>
      <w:r>
        <w:rPr>
          <w:rFonts w:hint="eastAsia" w:eastAsia="方正仿宋_GBK"/>
          <w:b/>
          <w:bCs/>
          <w:sz w:val="24"/>
          <w:szCs w:val="24"/>
        </w:rPr>
        <w:t xml:space="preserve">9、付款条件</w:t>
      </w:r>
      <w:r>
        <w:rPr>
          <w:rFonts w:eastAsia="方正仿宋_GBK"/>
          <w:b/>
          <w:bCs/>
          <w:sz w:val="24"/>
          <w:szCs w:val="24"/>
        </w:rPr>
      </w:r>
      <w:r/>
    </w:p>
    <w:p>
      <w:pPr>
        <w:pStyle w:val="998"/>
        <w:ind w:firstLine="480"/>
        <w:spacing w:line="0" w:lineRule="atLeast"/>
        <w:rPr>
          <w:rFonts w:eastAsia="方正仿宋_GBK"/>
          <w:sz w:val="24"/>
        </w:rPr>
      </w:pPr>
      <w:r>
        <w:rPr>
          <w:rFonts w:eastAsia="方正仿宋_GBK"/>
          <w:sz w:val="24"/>
        </w:rPr>
        <w:t xml:space="preserve">合同签订后付款合同价的30%，验收完成交付使用后付款合同价的40%</w:t>
      </w:r>
      <w:r>
        <w:rPr>
          <w:rFonts w:hint="eastAsia" w:eastAsia="方正仿宋_GBK"/>
          <w:sz w:val="24"/>
        </w:rPr>
        <w:t xml:space="preserve">，</w:t>
      </w:r>
      <w:r>
        <w:rPr>
          <w:rFonts w:eastAsia="方正仿宋_GBK"/>
          <w:sz w:val="24"/>
        </w:rPr>
        <w:t xml:space="preserve">验收合格后提供2年免费维护，前述维护满（自验收合格之日起计算）后，</w:t>
      </w:r>
      <w:r>
        <w:rPr>
          <w:rFonts w:hint="eastAsia" w:eastAsia="方正仿宋_GBK"/>
          <w:sz w:val="24"/>
        </w:rPr>
        <w:t xml:space="preserve">经</w:t>
      </w:r>
      <w:r>
        <w:rPr>
          <w:rFonts w:eastAsia="方正仿宋_GBK"/>
          <w:sz w:val="24"/>
        </w:rPr>
        <w:t xml:space="preserve">全面评审，认定系统正常运行、售后服务到位且不存在其它违约行为，则支付合同总金额的</w:t>
      </w:r>
      <w:r>
        <w:rPr>
          <w:rFonts w:hint="eastAsia" w:eastAsia="方正仿宋_GBK"/>
          <w:sz w:val="24"/>
        </w:rPr>
        <w:t xml:space="preserve">3</w:t>
      </w:r>
      <w:r>
        <w:rPr>
          <w:rFonts w:eastAsia="方正仿宋_GBK"/>
          <w:sz w:val="24"/>
        </w:rPr>
        <w:t xml:space="preserve">0％</w:t>
      </w:r>
      <w:r>
        <w:rPr>
          <w:rFonts w:hint="eastAsia" w:eastAsia="方正仿宋_GBK"/>
          <w:sz w:val="24"/>
        </w:rPr>
        <w:t xml:space="preserve">。</w:t>
      </w:r>
      <w:r>
        <w:rPr>
          <w:rFonts w:eastAsia="方正仿宋_GBK"/>
          <w:sz w:val="24"/>
        </w:rPr>
      </w:r>
      <w:r/>
    </w:p>
    <w:p>
      <w:pPr>
        <w:pStyle w:val="998"/>
        <w:ind w:firstLine="482"/>
        <w:spacing w:line="0" w:lineRule="atLeast"/>
        <w:rPr>
          <w:rFonts w:eastAsia="方正仿宋_GBK"/>
          <w:b/>
          <w:bCs/>
          <w:sz w:val="24"/>
          <w:szCs w:val="24"/>
        </w:rPr>
      </w:pPr>
      <w:r>
        <w:rPr>
          <w:rFonts w:eastAsia="方正仿宋_GBK"/>
          <w:b/>
          <w:bCs/>
          <w:sz w:val="24"/>
          <w:szCs w:val="24"/>
        </w:rPr>
        <w:t xml:space="preserve">10</w:t>
      </w:r>
      <w:r>
        <w:rPr>
          <w:rFonts w:hint="eastAsia" w:eastAsia="方正仿宋_GBK"/>
          <w:b/>
          <w:bCs/>
          <w:sz w:val="24"/>
          <w:szCs w:val="24"/>
        </w:rPr>
        <w:t xml:space="preserve">、</w:t>
      </w:r>
      <w:r>
        <w:rPr>
          <w:rFonts w:eastAsia="方正仿宋_GBK"/>
          <w:b/>
          <w:bCs/>
          <w:sz w:val="24"/>
          <w:szCs w:val="24"/>
        </w:rPr>
        <w:t xml:space="preserve">本项目不接受进口产品投标</w:t>
      </w:r>
      <w:r>
        <w:rPr>
          <w:rFonts w:eastAsia="方正仿宋_GBK"/>
          <w:b/>
          <w:bCs/>
          <w:sz w:val="24"/>
          <w:szCs w:val="24"/>
        </w:rPr>
      </w:r>
      <w:r/>
    </w:p>
    <w:p>
      <w:pPr>
        <w:pStyle w:val="998"/>
        <w:ind w:firstLine="482"/>
        <w:spacing w:line="0" w:lineRule="atLeast"/>
        <w:rPr>
          <w:rFonts w:eastAsia="仿宋"/>
          <w:b/>
          <w:bCs/>
          <w:sz w:val="24"/>
          <w:szCs w:val="24"/>
        </w:rPr>
      </w:pPr>
      <w:r>
        <w:rPr>
          <w:rFonts w:eastAsia="方正仿宋_GBK"/>
          <w:b/>
          <w:bCs/>
          <w:sz w:val="24"/>
          <w:szCs w:val="24"/>
          <w:highlight w:val="none"/>
        </w:rPr>
        <w:t xml:space="preserve">11</w:t>
      </w:r>
      <w:r>
        <w:rPr>
          <w:rFonts w:hint="eastAsia" w:eastAsia="方正仿宋_GBK"/>
          <w:b/>
          <w:bCs/>
          <w:sz w:val="24"/>
          <w:szCs w:val="24"/>
          <w:highlight w:val="none"/>
        </w:rPr>
        <w:t xml:space="preserve">、</w:t>
      </w:r>
      <w:r>
        <w:rPr>
          <w:rFonts w:eastAsia="方正仿宋_GBK"/>
          <w:b/>
          <w:bCs/>
          <w:sz w:val="24"/>
          <w:szCs w:val="24"/>
          <w:highlight w:val="none"/>
        </w:rPr>
        <w:t xml:space="preserve">履约保证金要求</w:t>
      </w:r>
      <w:r>
        <w:rPr>
          <w:rFonts w:hint="eastAsia" w:eastAsia="方正仿宋_GBK"/>
          <w:b/>
          <w:bCs/>
          <w:sz w:val="24"/>
          <w:szCs w:val="24"/>
          <w:highlight w:val="none"/>
          <w:lang w:eastAsia="zh-CN"/>
        </w:rPr>
        <w:t xml:space="preserve">：</w:t>
      </w:r>
      <w:r>
        <w:rPr>
          <w:rFonts w:hint="eastAsia" w:eastAsia="仿宋"/>
          <w:b/>
          <w:bCs/>
          <w:sz w:val="24"/>
          <w:szCs w:val="24"/>
        </w:rPr>
        <w:t xml:space="preserve">无</w:t>
      </w:r>
      <w:r>
        <w:rPr>
          <w:rFonts w:eastAsia="仿宋"/>
          <w:b/>
          <w:bCs/>
          <w:sz w:val="24"/>
          <w:szCs w:val="24"/>
        </w:rPr>
      </w:r>
      <w:r/>
    </w:p>
    <w:p>
      <w:pPr>
        <w:pStyle w:val="1010"/>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98"/>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b/>
          <w:i/>
          <w:color w:val="000000"/>
          <w:sz w:val="28"/>
          <w:szCs w:val="28"/>
          <w:highlight w:val="none"/>
          <w:u w:val="none"/>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998"/>
        <w:ind w:firstLine="562"/>
        <w:spacing w:line="480" w:lineRule="exact"/>
        <w:rPr>
          <w:rFonts w:ascii="Times New Roman" w:hAnsi="Times New Roman" w:eastAsia="方正仿宋_GBK" w:cs="Times New Roman"/>
          <w:b/>
          <w:bCs/>
          <w:i/>
          <w:color w:val="000000"/>
          <w:sz w:val="28"/>
          <w:szCs w:val="28"/>
          <w:highlight w:val="none"/>
          <w:u w:val="single"/>
        </w:rPr>
      </w:pPr>
      <w:r>
        <w:rPr>
          <w:rFonts w:ascii="Times New Roman" w:hAnsi="Times New Roman" w:eastAsia="方正仿宋_GBK" w:cs="Times New Roman"/>
          <w:b/>
          <w:bCs/>
          <w:i/>
          <w:sz w:val="28"/>
          <w:szCs w:val="28"/>
          <w:highlight w:val="none"/>
          <w:u w:val="single"/>
        </w:rPr>
        <w:t xml:space="preserve">4.1技术部分实质性要求</w:t>
      </w:r>
      <w:r>
        <w:rPr>
          <w:rFonts w:ascii="Times New Roman" w:hAnsi="Times New Roman" w:eastAsia="方正仿宋_GBK" w:cs="Times New Roman"/>
          <w:b/>
          <w:bCs/>
          <w:i/>
          <w:color w:val="000000"/>
          <w:sz w:val="28"/>
          <w:szCs w:val="28"/>
          <w:highlight w:val="none"/>
          <w:u w:val="single"/>
        </w:rPr>
      </w:r>
      <w:r/>
    </w:p>
    <w:p>
      <w:pPr>
        <w:pStyle w:val="998"/>
        <w:ind w:firstLine="480"/>
        <w:spacing w:line="520" w:lineRule="exact"/>
        <w:widowControl/>
        <w:rPr>
          <w:rFonts w:eastAsia="仿宋"/>
          <w:i/>
          <w:iCs/>
          <w:sz w:val="24"/>
          <w:szCs w:val="24"/>
          <w:u w:val="single"/>
        </w:rPr>
      </w:pPr>
      <w:r>
        <w:rPr>
          <w:rFonts w:hint="eastAsia" w:eastAsia="仿宋"/>
          <w:i/>
          <w:iCs/>
          <w:sz w:val="24"/>
          <w:szCs w:val="24"/>
          <w:u w:val="single"/>
          <w:lang w:eastAsia="zh-CN"/>
        </w:rPr>
        <w:t xml:space="preserve">（</w:t>
      </w:r>
      <w:r>
        <w:rPr>
          <w:rFonts w:hint="eastAsia" w:eastAsia="仿宋"/>
          <w:i/>
          <w:iCs/>
          <w:sz w:val="24"/>
          <w:szCs w:val="24"/>
          <w:u w:val="single"/>
          <w:lang w:val="en-US" w:eastAsia="zh-CN"/>
        </w:rPr>
        <w:t xml:space="preserve">1</w:t>
      </w:r>
      <w:r>
        <w:rPr>
          <w:rFonts w:hint="eastAsia" w:eastAsia="仿宋"/>
          <w:i/>
          <w:iCs/>
          <w:sz w:val="24"/>
          <w:szCs w:val="24"/>
          <w:u w:val="single"/>
          <w:lang w:eastAsia="zh-CN"/>
        </w:rPr>
        <w:t xml:space="preserve">）</w:t>
      </w:r>
      <w:r>
        <w:rPr>
          <w:rFonts w:hint="eastAsia" w:eastAsia="仿宋"/>
          <w:i/>
          <w:iCs/>
          <w:sz w:val="24"/>
          <w:szCs w:val="24"/>
          <w:u w:val="single"/>
        </w:rPr>
        <w:t xml:space="preserve">投标人须承诺“如若成为中标商，所投产品</w:t>
      </w:r>
      <w:r>
        <w:rPr>
          <w:rFonts w:eastAsia="仿宋"/>
          <w:i/>
          <w:iCs/>
          <w:sz w:val="24"/>
          <w:szCs w:val="24"/>
          <w:u w:val="single"/>
        </w:rPr>
        <w:t xml:space="preserve">通过南通市信创保障基地适配测试</w:t>
      </w:r>
      <w:r>
        <w:rPr>
          <w:rFonts w:hint="eastAsia" w:eastAsia="仿宋"/>
          <w:i/>
          <w:iCs/>
          <w:sz w:val="24"/>
          <w:szCs w:val="24"/>
          <w:u w:val="single"/>
        </w:rPr>
        <w:t xml:space="preserve">，适配通过将部署至</w:t>
      </w:r>
      <w:r>
        <w:rPr>
          <w:rFonts w:eastAsia="仿宋"/>
          <w:i/>
          <w:iCs/>
          <w:sz w:val="24"/>
          <w:szCs w:val="24"/>
          <w:u w:val="single"/>
        </w:rPr>
        <w:t xml:space="preserve">南通市政务云</w:t>
      </w:r>
      <w:r>
        <w:rPr>
          <w:rFonts w:hint="eastAsia" w:eastAsia="仿宋"/>
          <w:i/>
          <w:iCs/>
          <w:sz w:val="24"/>
          <w:szCs w:val="24"/>
          <w:u w:val="single"/>
        </w:rPr>
        <w:t xml:space="preserve">国产</w:t>
      </w:r>
      <w:r>
        <w:rPr>
          <w:rFonts w:eastAsia="仿宋"/>
          <w:i/>
          <w:iCs/>
          <w:sz w:val="24"/>
          <w:szCs w:val="24"/>
          <w:u w:val="single"/>
        </w:rPr>
        <w:t xml:space="preserve">环境</w:t>
      </w:r>
      <w:r>
        <w:rPr>
          <w:rFonts w:hint="eastAsia" w:eastAsia="仿宋"/>
          <w:i/>
          <w:iCs/>
          <w:sz w:val="24"/>
          <w:szCs w:val="24"/>
          <w:u w:val="single"/>
        </w:rPr>
        <w:t xml:space="preserve">。”</w:t>
      </w:r>
      <w:r>
        <w:rPr>
          <w:rFonts w:eastAsia="仿宋"/>
          <w:i/>
          <w:iCs/>
          <w:sz w:val="24"/>
          <w:szCs w:val="24"/>
          <w:u w:val="single"/>
        </w:rPr>
        <w:t xml:space="preserve">投标人在投标时需据实填写并提交实质性要求响应及偏离表，</w:t>
      </w:r>
      <w:r>
        <w:rPr>
          <w:rFonts w:hint="eastAsia" w:eastAsia="仿宋"/>
          <w:i/>
          <w:iCs/>
          <w:sz w:val="24"/>
          <w:szCs w:val="24"/>
          <w:u w:val="single"/>
        </w:rPr>
        <w:t xml:space="preserve">本项“负偏离”将作</w:t>
      </w:r>
      <w:r>
        <w:rPr>
          <w:rFonts w:eastAsia="仿宋"/>
          <w:i/>
          <w:iCs/>
          <w:sz w:val="24"/>
          <w:szCs w:val="24"/>
          <w:u w:val="single"/>
        </w:rPr>
        <w:t xml:space="preserve">无效投标处理。</w:t>
      </w:r>
      <w:r>
        <w:rPr>
          <w:rFonts w:hint="eastAsia" w:eastAsia="仿宋"/>
          <w:i/>
          <w:iCs/>
          <w:sz w:val="24"/>
          <w:szCs w:val="24"/>
          <w:u w:val="single"/>
        </w:rPr>
        <w:t xml:space="preserve">投标人</w:t>
      </w:r>
      <w:r>
        <w:rPr>
          <w:rFonts w:eastAsia="仿宋"/>
          <w:i/>
          <w:iCs/>
          <w:sz w:val="24"/>
          <w:szCs w:val="24"/>
          <w:u w:val="single"/>
        </w:rPr>
        <w:t xml:space="preserve">须</w:t>
      </w:r>
      <w:r>
        <w:rPr>
          <w:rFonts w:hint="eastAsia" w:eastAsia="仿宋"/>
          <w:i/>
          <w:iCs/>
          <w:sz w:val="24"/>
          <w:szCs w:val="24"/>
          <w:u w:val="single"/>
        </w:rPr>
        <w:t xml:space="preserve">提供</w:t>
      </w:r>
      <w:r>
        <w:rPr>
          <w:rFonts w:eastAsia="仿宋"/>
          <w:b/>
          <w:bCs/>
          <w:i/>
          <w:iCs/>
          <w:sz w:val="24"/>
          <w:szCs w:val="24"/>
          <w:u w:val="single"/>
        </w:rPr>
        <w:t xml:space="preserve">南通市政务云</w:t>
      </w:r>
      <w:r>
        <w:rPr>
          <w:rFonts w:hint="eastAsia" w:eastAsia="仿宋"/>
          <w:b/>
          <w:bCs/>
          <w:i/>
          <w:iCs/>
          <w:sz w:val="24"/>
          <w:szCs w:val="24"/>
          <w:u w:val="single"/>
        </w:rPr>
        <w:t xml:space="preserve">国产</w:t>
      </w:r>
      <w:r>
        <w:rPr>
          <w:rFonts w:eastAsia="仿宋"/>
          <w:b/>
          <w:bCs/>
          <w:i/>
          <w:iCs/>
          <w:sz w:val="24"/>
          <w:szCs w:val="24"/>
          <w:u w:val="single"/>
        </w:rPr>
        <w:t xml:space="preserve">环境部署承诺</w:t>
      </w:r>
      <w:r>
        <w:rPr>
          <w:rFonts w:hint="eastAsia" w:eastAsia="仿宋"/>
          <w:b/>
          <w:bCs/>
          <w:i/>
          <w:iCs/>
          <w:sz w:val="24"/>
          <w:szCs w:val="24"/>
          <w:u w:val="single"/>
        </w:rPr>
        <w:t xml:space="preserve">书</w:t>
      </w:r>
      <w:r>
        <w:rPr>
          <w:rFonts w:eastAsia="仿宋"/>
          <w:i/>
          <w:iCs/>
          <w:sz w:val="24"/>
          <w:szCs w:val="24"/>
          <w:u w:val="single"/>
        </w:rPr>
        <w:t xml:space="preserve">作为证明材料，</w:t>
      </w:r>
      <w:r>
        <w:rPr>
          <w:rFonts w:hint="eastAsia" w:eastAsia="仿宋"/>
          <w:i/>
          <w:iCs/>
          <w:sz w:val="24"/>
          <w:szCs w:val="24"/>
          <w:u w:val="single"/>
        </w:rPr>
        <w:t xml:space="preserve">加盖投标人公章有效。</w:t>
      </w:r>
      <w:r>
        <w:rPr>
          <w:rFonts w:eastAsia="仿宋"/>
          <w:i/>
          <w:iCs/>
          <w:sz w:val="24"/>
          <w:szCs w:val="24"/>
          <w:u w:val="single"/>
        </w:rPr>
        <w:t xml:space="preserve">未提供或未按要求提供作无效投标处理。</w:t>
      </w:r>
      <w:r>
        <w:rPr>
          <w:rFonts w:eastAsia="仿宋"/>
          <w:i/>
          <w:iCs/>
          <w:sz w:val="24"/>
          <w:szCs w:val="24"/>
          <w:u w:val="single"/>
        </w:rPr>
      </w:r>
      <w:r/>
    </w:p>
    <w:p>
      <w:pPr>
        <w:pStyle w:val="998"/>
        <w:ind w:firstLine="480"/>
        <w:spacing w:line="520" w:lineRule="exact"/>
        <w:widowControl/>
      </w:pPr>
      <w:r>
        <w:rPr>
          <w:rFonts w:hint="eastAsia" w:eastAsia="仿宋"/>
          <w:i/>
          <w:iCs/>
          <w:sz w:val="24"/>
          <w:szCs w:val="24"/>
          <w:u w:val="single"/>
          <w:lang w:eastAsia="zh-CN"/>
        </w:rPr>
        <w:t xml:space="preserve">（</w:t>
      </w:r>
      <w:r>
        <w:rPr>
          <w:rFonts w:hint="eastAsia" w:eastAsia="仿宋"/>
          <w:i/>
          <w:iCs/>
          <w:sz w:val="24"/>
          <w:szCs w:val="24"/>
          <w:u w:val="single"/>
          <w:lang w:val="en-US" w:eastAsia="zh-CN"/>
        </w:rPr>
        <w:t xml:space="preserve">2</w:t>
      </w:r>
      <w:r>
        <w:rPr>
          <w:rFonts w:hint="eastAsia" w:eastAsia="仿宋"/>
          <w:i/>
          <w:iCs/>
          <w:sz w:val="24"/>
          <w:szCs w:val="24"/>
          <w:u w:val="single"/>
          <w:lang w:eastAsia="zh-CN"/>
        </w:rPr>
        <w:t xml:space="preserve">）</w:t>
      </w:r>
      <w:r>
        <w:rPr>
          <w:rFonts w:hint="eastAsia" w:eastAsia="仿宋"/>
          <w:i/>
          <w:iCs/>
          <w:sz w:val="24"/>
          <w:szCs w:val="24"/>
          <w:u w:val="single"/>
        </w:rPr>
        <w:t xml:space="preserve">投标人须承诺“本项目改造清单中各信息系统均作为子系统或子模块以南通市全民健康信息平台为核心，开展整合，包含且不限于前端应用和后端数据库整合，落实“一部门一系统”要求。”投标人须提供</w:t>
      </w:r>
      <w:r>
        <w:rPr>
          <w:rFonts w:hint="eastAsia" w:eastAsia="仿宋"/>
          <w:b/>
          <w:bCs/>
          <w:i/>
          <w:iCs/>
          <w:sz w:val="24"/>
          <w:szCs w:val="24"/>
          <w:u w:val="single"/>
        </w:rPr>
        <w:t xml:space="preserve">南通市全民健康信息平台改造整合</w:t>
      </w:r>
      <w:r>
        <w:rPr>
          <w:rFonts w:eastAsia="仿宋"/>
          <w:b/>
          <w:bCs/>
          <w:i/>
          <w:iCs/>
          <w:sz w:val="24"/>
          <w:szCs w:val="24"/>
          <w:u w:val="single"/>
        </w:rPr>
        <w:t xml:space="preserve">承诺书</w:t>
      </w:r>
      <w:r>
        <w:rPr>
          <w:rFonts w:eastAsia="仿宋"/>
          <w:i/>
          <w:iCs/>
          <w:sz w:val="24"/>
          <w:szCs w:val="24"/>
          <w:u w:val="single"/>
        </w:rPr>
        <w:t xml:space="preserve">作为证明材料，</w:t>
      </w:r>
      <w:r>
        <w:rPr>
          <w:rFonts w:hint="eastAsia" w:eastAsia="仿宋"/>
          <w:i/>
          <w:iCs/>
          <w:sz w:val="24"/>
          <w:szCs w:val="24"/>
          <w:u w:val="single"/>
        </w:rPr>
        <w:t xml:space="preserve">加盖投标人公章有效。</w:t>
      </w:r>
      <w:r>
        <w:rPr>
          <w:rFonts w:eastAsia="仿宋"/>
          <w:i/>
          <w:iCs/>
          <w:sz w:val="24"/>
          <w:szCs w:val="24"/>
          <w:u w:val="single"/>
        </w:rPr>
        <w:t xml:space="preserve">未提供或未按要求提供作无效投标处理。</w:t>
      </w:r>
      <w:r/>
    </w:p>
    <w:p>
      <w:pPr>
        <w:pStyle w:val="998"/>
        <w:ind w:firstLine="562"/>
        <w:spacing w:line="480" w:lineRule="exact"/>
        <w:rPr>
          <w:rFonts w:ascii="Times New Roman" w:hAnsi="Times New Roman" w:eastAsia="方正仿宋_GBK" w:cs="Times New Roman"/>
          <w:b/>
          <w:bCs/>
          <w:i/>
          <w:color w:val="000000"/>
          <w:sz w:val="28"/>
          <w:szCs w:val="28"/>
          <w:highlight w:val="none"/>
          <w:u w:val="single"/>
        </w:rPr>
      </w:pPr>
      <w:r>
        <w:rPr>
          <w:rFonts w:ascii="Times New Roman" w:hAnsi="Times New Roman" w:eastAsia="方正仿宋_GBK" w:cs="Times New Roman"/>
          <w:b/>
          <w:bCs/>
          <w:i/>
          <w:sz w:val="28"/>
          <w:szCs w:val="28"/>
          <w:highlight w:val="none"/>
          <w:u w:val="single"/>
        </w:rPr>
        <w:t xml:space="preserve">4.2商务部分实质性要求</w:t>
      </w:r>
      <w:bookmarkStart w:id="211" w:name="_Toc120614281"/>
      <w:r>
        <w:rPr>
          <w:rFonts w:ascii="Times New Roman" w:hAnsi="Times New Roman" w:eastAsia="方正仿宋_GBK" w:cs="Times New Roman"/>
          <w:b/>
          <w:bCs/>
          <w:i/>
          <w:color w:val="000000"/>
          <w:sz w:val="28"/>
          <w:szCs w:val="28"/>
          <w:highlight w:val="none"/>
          <w:u w:val="single"/>
        </w:rPr>
      </w:r>
      <w:r/>
    </w:p>
    <w:p>
      <w:pPr>
        <w:pStyle w:val="998"/>
        <w:ind w:firstLine="480"/>
        <w:spacing w:line="520" w:lineRule="exact"/>
        <w:widowControl/>
        <w:rPr>
          <w:rFonts w:eastAsia="仿宋"/>
          <w:i/>
          <w:iCs/>
          <w:sz w:val="24"/>
          <w:szCs w:val="24"/>
          <w:u w:val="single"/>
        </w:rPr>
      </w:pPr>
      <w:r>
        <w:rPr>
          <w:rFonts w:hint="eastAsia" w:eastAsia="仿宋"/>
          <w:i/>
          <w:iCs/>
          <w:sz w:val="24"/>
          <w:szCs w:val="24"/>
          <w:u w:val="single"/>
          <w:lang w:eastAsia="zh-CN"/>
        </w:rPr>
        <w:t xml:space="preserve">（</w:t>
      </w:r>
      <w:r>
        <w:rPr>
          <w:rFonts w:hint="eastAsia" w:eastAsia="仿宋"/>
          <w:i/>
          <w:iCs/>
          <w:sz w:val="24"/>
          <w:szCs w:val="24"/>
          <w:u w:val="single"/>
          <w:lang w:val="en-US" w:eastAsia="zh-CN"/>
        </w:rPr>
        <w:t xml:space="preserve">1</w:t>
      </w:r>
      <w:r>
        <w:rPr>
          <w:rFonts w:hint="eastAsia" w:eastAsia="仿宋"/>
          <w:i/>
          <w:iCs/>
          <w:sz w:val="24"/>
          <w:szCs w:val="24"/>
          <w:u w:val="single"/>
          <w:lang w:eastAsia="zh-CN"/>
        </w:rPr>
        <w:t xml:space="preserve">）</w:t>
      </w:r>
      <w:r>
        <w:rPr>
          <w:rFonts w:hint="eastAsia" w:eastAsia="仿宋"/>
          <w:i/>
          <w:iCs/>
          <w:sz w:val="24"/>
          <w:szCs w:val="24"/>
          <w:u w:val="single"/>
        </w:rPr>
        <w:t xml:space="preserve">本项目的核心系统全民健康信息平台，</w:t>
      </w:r>
      <w:r>
        <w:rPr>
          <w:rFonts w:hint="eastAsia" w:ascii="楷体" w:hAnsi="楷体" w:eastAsia="楷体"/>
          <w:i/>
          <w:iCs/>
          <w:sz w:val="24"/>
          <w:szCs w:val="24"/>
          <w:u w:val="single"/>
        </w:rPr>
        <w:t xml:space="preserve">如采用自主知识成果的</w:t>
      </w:r>
      <w:r>
        <w:rPr>
          <w:rFonts w:hint="eastAsia" w:eastAsia="仿宋"/>
          <w:i/>
          <w:iCs/>
          <w:sz w:val="24"/>
          <w:szCs w:val="24"/>
          <w:u w:val="single"/>
        </w:rPr>
        <w:t xml:space="preserve">，在实质性要求响应及偏离表注明，且投标人须承诺 “我方保证所投产品均为自主研发不存在侵犯第三方知识产权的情况。若因知识产权问题导致第三方索赔，我方将承担全部法律责任并赔偿相应损失。” 且投标人须提供</w:t>
      </w:r>
      <w:r>
        <w:rPr>
          <w:rFonts w:hint="eastAsia" w:eastAsia="仿宋"/>
          <w:b/>
          <w:bCs/>
          <w:i/>
          <w:iCs/>
          <w:sz w:val="24"/>
          <w:szCs w:val="24"/>
          <w:u w:val="single"/>
        </w:rPr>
        <w:t xml:space="preserve">自主产权承诺书</w:t>
      </w:r>
      <w:r>
        <w:rPr>
          <w:rFonts w:hint="eastAsia" w:eastAsia="仿宋"/>
          <w:i/>
          <w:iCs/>
          <w:sz w:val="24"/>
          <w:szCs w:val="24"/>
          <w:u w:val="single"/>
        </w:rPr>
        <w:t xml:space="preserve">作为证明材料，加盖公章有效。</w:t>
      </w:r>
      <w:r>
        <w:rPr>
          <w:rFonts w:eastAsia="仿宋"/>
          <w:i/>
          <w:iCs/>
          <w:sz w:val="24"/>
          <w:szCs w:val="24"/>
          <w:u w:val="single"/>
        </w:rPr>
      </w:r>
      <w:r/>
    </w:p>
    <w:p>
      <w:pPr>
        <w:pStyle w:val="998"/>
        <w:ind w:firstLine="480"/>
        <w:spacing w:line="520" w:lineRule="exact"/>
        <w:widowControl/>
        <w:rPr>
          <w:rFonts w:eastAsia="仿宋"/>
          <w:i/>
          <w:iCs/>
          <w:sz w:val="24"/>
          <w:szCs w:val="24"/>
          <w:u w:val="single"/>
        </w:rPr>
      </w:pPr>
      <w:r>
        <w:rPr>
          <w:rFonts w:hint="eastAsia" w:ascii="楷体" w:hAnsi="楷体" w:eastAsia="楷体"/>
          <w:i/>
          <w:iCs/>
          <w:sz w:val="24"/>
          <w:szCs w:val="24"/>
          <w:u w:val="single"/>
          <w:lang w:eastAsia="zh-CN"/>
        </w:rPr>
        <w:t xml:space="preserve">（</w:t>
      </w:r>
      <w:r>
        <w:rPr>
          <w:rFonts w:hint="eastAsia" w:ascii="楷体" w:hAnsi="楷体" w:eastAsia="楷体"/>
          <w:i/>
          <w:iCs/>
          <w:sz w:val="24"/>
          <w:szCs w:val="24"/>
          <w:u w:val="single"/>
          <w:lang w:val="en-US" w:eastAsia="zh-CN"/>
        </w:rPr>
        <w:t xml:space="preserve">2</w:t>
      </w:r>
      <w:r>
        <w:rPr>
          <w:rFonts w:hint="eastAsia" w:ascii="楷体" w:hAnsi="楷体" w:eastAsia="楷体"/>
          <w:i/>
          <w:iCs/>
          <w:sz w:val="24"/>
          <w:szCs w:val="24"/>
          <w:u w:val="single"/>
          <w:lang w:eastAsia="zh-CN"/>
        </w:rPr>
        <w:t xml:space="preserve">）</w:t>
      </w:r>
      <w:r>
        <w:rPr>
          <w:rFonts w:hint="eastAsia" w:ascii="楷体" w:hAnsi="楷体" w:eastAsia="楷体"/>
          <w:i/>
          <w:iCs/>
          <w:sz w:val="24"/>
          <w:szCs w:val="24"/>
          <w:u w:val="single"/>
        </w:rPr>
        <w:t xml:space="preserve">如</w:t>
      </w:r>
      <w:r>
        <w:rPr>
          <w:rFonts w:ascii="楷体" w:hAnsi="楷体" w:eastAsia="楷体"/>
          <w:i/>
          <w:iCs/>
          <w:sz w:val="24"/>
          <w:szCs w:val="24"/>
          <w:u w:val="single"/>
        </w:rPr>
        <w:t xml:space="preserve">采用第三方知识</w:t>
      </w:r>
      <w:r>
        <w:rPr>
          <w:rFonts w:hint="eastAsia" w:ascii="楷体" w:hAnsi="楷体" w:eastAsia="楷体"/>
          <w:i/>
          <w:iCs/>
          <w:sz w:val="24"/>
          <w:szCs w:val="24"/>
          <w:u w:val="single"/>
        </w:rPr>
        <w:t xml:space="preserve">产权</w:t>
      </w:r>
      <w:r>
        <w:rPr>
          <w:rFonts w:ascii="楷体" w:hAnsi="楷体" w:eastAsia="楷体"/>
          <w:i/>
          <w:iCs/>
          <w:sz w:val="24"/>
          <w:szCs w:val="24"/>
          <w:u w:val="single"/>
        </w:rPr>
        <w:t xml:space="preserve">的</w:t>
      </w:r>
      <w:r>
        <w:rPr>
          <w:rFonts w:eastAsia="仿宋"/>
          <w:i/>
          <w:iCs/>
          <w:sz w:val="24"/>
          <w:szCs w:val="24"/>
          <w:u w:val="single"/>
        </w:rPr>
        <w:t xml:space="preserve">，应当</w:t>
      </w:r>
      <w:r>
        <w:rPr>
          <w:rFonts w:hint="eastAsia" w:eastAsia="仿宋"/>
          <w:i/>
          <w:iCs/>
          <w:sz w:val="24"/>
          <w:szCs w:val="24"/>
          <w:u w:val="single"/>
        </w:rPr>
        <w:t xml:space="preserve">在实质性要求响应及偏离表</w:t>
      </w:r>
      <w:r>
        <w:rPr>
          <w:rFonts w:eastAsia="仿宋"/>
          <w:i/>
          <w:iCs/>
          <w:sz w:val="24"/>
          <w:szCs w:val="24"/>
          <w:u w:val="single"/>
        </w:rPr>
        <w:t xml:space="preserve">中</w:t>
      </w:r>
      <w:r>
        <w:rPr>
          <w:rFonts w:hint="eastAsia" w:eastAsia="仿宋"/>
          <w:i/>
          <w:iCs/>
          <w:sz w:val="24"/>
          <w:szCs w:val="24"/>
          <w:u w:val="single"/>
        </w:rPr>
        <w:t xml:space="preserve">注明</w:t>
      </w:r>
      <w:r>
        <w:rPr>
          <w:rFonts w:eastAsia="仿宋"/>
          <w:i/>
          <w:iCs/>
          <w:sz w:val="24"/>
          <w:szCs w:val="24"/>
          <w:u w:val="single"/>
        </w:rPr>
        <w:t xml:space="preserve">，</w:t>
      </w:r>
      <w:r>
        <w:rPr>
          <w:rFonts w:hint="eastAsia" w:eastAsia="仿宋"/>
          <w:i/>
          <w:iCs/>
          <w:sz w:val="24"/>
          <w:szCs w:val="24"/>
          <w:u w:val="single"/>
        </w:rPr>
        <w:t xml:space="preserve">且投标人须提供</w:t>
      </w:r>
      <w:r>
        <w:rPr>
          <w:rFonts w:eastAsia="仿宋"/>
          <w:i/>
          <w:iCs/>
          <w:sz w:val="24"/>
          <w:szCs w:val="24"/>
          <w:u w:val="single"/>
        </w:rPr>
        <w:t xml:space="preserve">知识产权</w:t>
      </w:r>
      <w:r>
        <w:rPr>
          <w:rFonts w:hint="eastAsia" w:eastAsia="仿宋"/>
          <w:i/>
          <w:iCs/>
          <w:sz w:val="24"/>
          <w:szCs w:val="24"/>
          <w:u w:val="single"/>
        </w:rPr>
        <w:t xml:space="preserve">的</w:t>
      </w:r>
      <w:r>
        <w:rPr>
          <w:rFonts w:hint="eastAsia" w:eastAsia="仿宋"/>
          <w:b/>
          <w:bCs/>
          <w:i/>
          <w:iCs/>
          <w:sz w:val="24"/>
          <w:szCs w:val="24"/>
          <w:u w:val="single"/>
        </w:rPr>
        <w:t xml:space="preserve">第三方</w:t>
      </w:r>
      <w:r>
        <w:rPr>
          <w:rFonts w:eastAsia="仿宋"/>
          <w:b/>
          <w:bCs/>
          <w:i/>
          <w:iCs/>
          <w:sz w:val="24"/>
          <w:szCs w:val="24"/>
          <w:u w:val="single"/>
        </w:rPr>
        <w:t xml:space="preserve">授权文件</w:t>
      </w:r>
      <w:r>
        <w:rPr>
          <w:rFonts w:hint="eastAsia" w:eastAsia="仿宋"/>
          <w:b/>
          <w:bCs/>
          <w:i/>
          <w:iCs/>
          <w:sz w:val="24"/>
          <w:szCs w:val="24"/>
          <w:u w:val="single"/>
        </w:rPr>
        <w:t xml:space="preserve">等</w:t>
      </w:r>
      <w:r>
        <w:rPr>
          <w:rFonts w:hint="eastAsia" w:eastAsia="仿宋"/>
          <w:i/>
          <w:iCs/>
          <w:sz w:val="24"/>
          <w:szCs w:val="24"/>
          <w:u w:val="single"/>
        </w:rPr>
        <w:t xml:space="preserve">证明材料，加盖投标人公章有效。</w:t>
      </w:r>
      <w:r>
        <w:rPr>
          <w:rFonts w:eastAsia="仿宋"/>
          <w:i/>
          <w:iCs/>
          <w:sz w:val="24"/>
          <w:szCs w:val="24"/>
          <w:u w:val="single"/>
        </w:rPr>
        <w:t xml:space="preserve">未提供或未按要求提供作无效投标处理。</w:t>
      </w:r>
      <w:r>
        <w:rPr>
          <w:rFonts w:eastAsia="仿宋"/>
          <w:i/>
          <w:iCs/>
          <w:sz w:val="24"/>
          <w:szCs w:val="24"/>
          <w:u w:val="single"/>
        </w:rPr>
      </w:r>
      <w:r/>
    </w:p>
    <w:p>
      <w:pPr>
        <w:pStyle w:val="998"/>
        <w:ind w:firstLine="562"/>
        <w:spacing w:line="480" w:lineRule="exact"/>
        <w:rPr>
          <w:rFonts w:ascii="Times New Roman" w:hAnsi="Times New Roman" w:eastAsia="方正仿宋_GBK" w:cs="Times New Roman"/>
          <w:b/>
          <w:bCs/>
          <w:i/>
          <w:color w:val="000000"/>
          <w:sz w:val="28"/>
          <w:szCs w:val="28"/>
          <w:highlight w:val="none"/>
          <w:u w:val="single"/>
        </w:rPr>
      </w:pPr>
      <w:r>
        <w:rPr>
          <w:rFonts w:ascii="Times New Roman" w:hAnsi="Times New Roman" w:eastAsia="方正仿宋_GBK" w:cs="Times New Roman"/>
          <w:b/>
          <w:bCs/>
          <w:i/>
          <w:sz w:val="28"/>
          <w:szCs w:val="28"/>
          <w:highlight w:val="none"/>
          <w:u w:val="single"/>
        </w:rPr>
        <w:t xml:space="preserve">4.</w:t>
      </w:r>
      <w:r>
        <w:rPr>
          <w:rFonts w:hint="eastAsia" w:ascii="Times New Roman" w:hAnsi="Times New Roman" w:eastAsia="方正仿宋_GBK" w:cs="Times New Roman"/>
          <w:b/>
          <w:bCs/>
          <w:i/>
          <w:sz w:val="28"/>
          <w:szCs w:val="28"/>
          <w:highlight w:val="none"/>
          <w:u w:val="single"/>
          <w:lang w:val="en-US" w:eastAsia="zh-CN"/>
        </w:rPr>
        <w:t xml:space="preserve">3价格</w:t>
      </w:r>
      <w:r>
        <w:rPr>
          <w:rFonts w:ascii="Times New Roman" w:hAnsi="Times New Roman" w:eastAsia="方正仿宋_GBK" w:cs="Times New Roman"/>
          <w:b/>
          <w:bCs/>
          <w:i/>
          <w:sz w:val="28"/>
          <w:szCs w:val="28"/>
          <w:highlight w:val="none"/>
          <w:u w:val="single"/>
        </w:rPr>
        <w:t xml:space="preserve">部分实质性要求</w:t>
      </w:r>
      <w:r>
        <w:rPr>
          <w:rFonts w:ascii="Times New Roman" w:hAnsi="Times New Roman" w:eastAsia="方正仿宋_GBK" w:cs="Times New Roman"/>
          <w:b/>
          <w:bCs/>
          <w:i/>
          <w:color w:val="000000"/>
          <w:sz w:val="28"/>
          <w:szCs w:val="28"/>
          <w:highlight w:val="none"/>
          <w:u w:val="single"/>
        </w:rPr>
      </w:r>
      <w:r/>
    </w:p>
    <w:p>
      <w:pPr>
        <w:pStyle w:val="998"/>
        <w:ind w:firstLine="480"/>
        <w:spacing w:line="480" w:lineRule="exact"/>
        <w:rPr>
          <w:rFonts w:eastAsia="等线"/>
          <w:b/>
          <w:i/>
          <w:color w:val="000000"/>
          <w:sz w:val="24"/>
          <w:szCs w:val="24"/>
          <w:u w:val="single"/>
        </w:rPr>
      </w:pPr>
      <w:r>
        <w:rPr>
          <w:rFonts w:eastAsia="等线"/>
          <w:b/>
          <w:i/>
          <w:color w:val="000000"/>
          <w:sz w:val="24"/>
          <w:szCs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5384"/>
        <w:gridCol w:w="2709"/>
      </w:tblGrid>
      <w:tr>
        <w:trPr>
          <w:cantSplit/>
          <w:trHeight w:val="291"/>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序号</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建设内容</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分项预算</w:t>
            </w:r>
            <w:r>
              <w:rPr>
                <w:rFonts w:eastAsia="等线"/>
                <w:i/>
                <w:iCs/>
                <w:color w:val="000000"/>
                <w:sz w:val="24"/>
                <w:szCs w:val="24"/>
              </w:rPr>
            </w:r>
            <w:r/>
          </w:p>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（万元）</w:t>
            </w:r>
            <w:r>
              <w:rPr>
                <w:rFonts w:eastAsia="等线"/>
                <w:i/>
                <w:iCs/>
                <w:color w:val="000000"/>
                <w:sz w:val="24"/>
                <w:szCs w:val="24"/>
              </w:rPr>
            </w:r>
            <w:r/>
          </w:p>
        </w:tc>
      </w:tr>
      <w:tr>
        <w:trPr>
          <w:cantSplit/>
          <w:trHeight w:val="291"/>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1</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全民健康信息平台</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4</w:t>
            </w:r>
            <w:r>
              <w:rPr>
                <w:rFonts w:eastAsia="等线"/>
                <w:i/>
                <w:iCs/>
                <w:color w:val="000000"/>
                <w:sz w:val="24"/>
                <w:szCs w:val="24"/>
              </w:rPr>
              <w:t xml:space="preserve">56.66</w:t>
            </w:r>
            <w:r>
              <w:rPr>
                <w:rFonts w:eastAsia="等线"/>
                <w:i/>
                <w:iCs/>
                <w:color w:val="000000"/>
                <w:sz w:val="24"/>
                <w:szCs w:val="24"/>
              </w:rPr>
            </w:r>
            <w:r/>
          </w:p>
        </w:tc>
      </w:tr>
      <w:tr>
        <w:trPr>
          <w:cantSplit/>
          <w:trHeight w:val="235"/>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2</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依法执业自我管理系统</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3</w:t>
            </w:r>
            <w:r>
              <w:rPr>
                <w:rFonts w:eastAsia="等线"/>
                <w:i/>
                <w:iCs/>
                <w:color w:val="000000"/>
                <w:sz w:val="24"/>
                <w:szCs w:val="24"/>
              </w:rPr>
              <w:t xml:space="preserve">3</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3</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医疗服务多元化综合监管子系统</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4</w:t>
            </w:r>
            <w:r>
              <w:rPr>
                <w:rFonts w:eastAsia="等线"/>
                <w:i/>
                <w:iCs/>
                <w:color w:val="000000"/>
                <w:sz w:val="24"/>
                <w:szCs w:val="24"/>
              </w:rPr>
              <w:t xml:space="preserve">7</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4</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职业健康体检子系统</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5</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5</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药品采购目录审核与使用监管子系统</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1.69</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eastAsia="等线"/>
                <w:i/>
                <w:iCs/>
                <w:color w:val="000000"/>
                <w:sz w:val="24"/>
                <w:szCs w:val="24"/>
              </w:rPr>
              <w:t xml:space="preserve">6</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远程会诊管理子系统</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2</w:t>
            </w:r>
            <w:r>
              <w:rPr>
                <w:rFonts w:eastAsia="等线"/>
                <w:i/>
                <w:iCs/>
                <w:color w:val="000000"/>
                <w:sz w:val="24"/>
                <w:szCs w:val="24"/>
              </w:rPr>
              <w:t xml:space="preserve">0</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7</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生育登记信息子系统</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2</w:t>
            </w:r>
            <w:r>
              <w:rPr>
                <w:rFonts w:eastAsia="等线"/>
                <w:i/>
                <w:iCs/>
                <w:color w:val="000000"/>
                <w:sz w:val="24"/>
                <w:szCs w:val="24"/>
              </w:rPr>
              <w:t xml:space="preserve">5</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8</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基层疾病分级服务子系统</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2</w:t>
            </w:r>
            <w:r>
              <w:rPr>
                <w:rFonts w:eastAsia="等线"/>
                <w:i/>
                <w:iCs/>
                <w:color w:val="000000"/>
                <w:sz w:val="24"/>
                <w:szCs w:val="24"/>
              </w:rPr>
              <w:t xml:space="preserve">1</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9</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电子票据信息子系统</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3</w:t>
            </w:r>
            <w:r>
              <w:rPr>
                <w:rFonts w:eastAsia="等线"/>
                <w:i/>
                <w:iCs/>
                <w:color w:val="000000"/>
                <w:sz w:val="24"/>
                <w:szCs w:val="24"/>
              </w:rPr>
              <w:t xml:space="preserve">1</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0</w:t>
            </w:r>
            <w:r>
              <w:rPr>
                <w:rFonts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基层结核病管理子系统</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9</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1</w:t>
            </w:r>
            <w:r>
              <w:rPr>
                <w:rFonts w:hint="eastAsia"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干部保健子系统</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2</w:t>
            </w:r>
            <w:r>
              <w:rPr>
                <w:rFonts w:eastAsia="等线"/>
                <w:i/>
                <w:iCs/>
                <w:color w:val="000000"/>
                <w:sz w:val="24"/>
                <w:szCs w:val="24"/>
              </w:rPr>
              <w:t xml:space="preserve">4</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2</w:t>
            </w:r>
            <w:r>
              <w:rPr>
                <w:rFonts w:hint="eastAsia"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eastAsia="等线"/>
                <w:i/>
                <w:iCs/>
                <w:color w:val="000000"/>
                <w:sz w:val="24"/>
                <w:szCs w:val="24"/>
              </w:rPr>
              <w:t xml:space="preserve">数据库集群</w:t>
            </w:r>
            <w:r>
              <w:rPr>
                <w:rFonts w:hint="eastAsia"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0</w:t>
            </w:r>
            <w:r>
              <w:rPr>
                <w:rFonts w:eastAsia="等线"/>
                <w:i/>
                <w:iCs/>
                <w:color w:val="000000"/>
                <w:sz w:val="24"/>
                <w:szCs w:val="24"/>
              </w:rPr>
            </w:r>
            <w:r/>
          </w:p>
        </w:tc>
      </w:tr>
      <w:tr>
        <w:trPr>
          <w:cantSplit/>
          <w:trHeight w:val="222"/>
        </w:trPr>
        <w:tc>
          <w:tcPr>
            <w:tcW w:w="587" w:type="dxa"/>
            <w:vAlign w:val="top"/>
            <w:textDirection w:val="lrTb"/>
            <w:noWrap w:val="false"/>
          </w:tcPr>
          <w:p>
            <w:pPr>
              <w:pStyle w:val="998"/>
              <w:jc w:val="center"/>
              <w:spacing w:line="300" w:lineRule="auto"/>
              <w:tabs>
                <w:tab w:val="left" w:pos="2020" w:leader="none"/>
              </w:tabs>
              <w:rPr>
                <w:rFonts w:hint="eastAsia" w:eastAsia="等线"/>
                <w:i/>
                <w:iCs/>
                <w:color w:val="000000"/>
                <w:sz w:val="24"/>
                <w:szCs w:val="24"/>
              </w:rPr>
            </w:pPr>
            <w:r>
              <w:rPr>
                <w:rFonts w:hint="eastAsia" w:eastAsia="等线"/>
                <w:i/>
                <w:iCs/>
                <w:color w:val="000000"/>
                <w:sz w:val="24"/>
                <w:szCs w:val="24"/>
              </w:rPr>
              <w:t xml:space="preserve">1</w:t>
            </w:r>
            <w:r>
              <w:rPr>
                <w:rFonts w:eastAsia="等线"/>
                <w:i/>
                <w:iCs/>
                <w:color w:val="000000"/>
                <w:sz w:val="24"/>
                <w:szCs w:val="24"/>
              </w:rPr>
              <w:t xml:space="preserve">3</w:t>
            </w:r>
            <w:r>
              <w:rPr>
                <w:rFonts w:hint="eastAsia" w:eastAsia="等线"/>
                <w:i/>
                <w:iCs/>
                <w:color w:val="000000"/>
                <w:sz w:val="24"/>
                <w:szCs w:val="24"/>
              </w:rPr>
            </w:r>
            <w:r/>
          </w:p>
        </w:tc>
        <w:tc>
          <w:tcPr>
            <w:tcW w:w="2936"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风险评估</w:t>
            </w:r>
            <w:r>
              <w:rPr>
                <w:rFonts w:eastAsia="等线"/>
                <w:i/>
                <w:iCs/>
                <w:color w:val="000000"/>
                <w:sz w:val="24"/>
                <w:szCs w:val="24"/>
              </w:rPr>
            </w:r>
            <w:r/>
          </w:p>
        </w:tc>
        <w:tc>
          <w:tcPr>
            <w:tcW w:w="1477" w:type="dxa"/>
            <w:vAlign w:val="top"/>
            <w:textDirection w:val="lrTb"/>
            <w:noWrap w:val="false"/>
          </w:tcPr>
          <w:p>
            <w:pPr>
              <w:pStyle w:val="998"/>
              <w:jc w:val="center"/>
              <w:spacing w:line="300" w:lineRule="auto"/>
              <w:tabs>
                <w:tab w:val="left" w:pos="2020" w:leader="none"/>
              </w:tabs>
              <w:rPr>
                <w:rFonts w:eastAsia="等线"/>
                <w:i/>
                <w:iCs/>
                <w:color w:val="000000"/>
                <w:sz w:val="24"/>
                <w:szCs w:val="24"/>
              </w:rPr>
            </w:pPr>
            <w:r>
              <w:rPr>
                <w:rFonts w:hint="eastAsia" w:eastAsia="等线"/>
                <w:i/>
                <w:iCs/>
                <w:color w:val="000000"/>
                <w:sz w:val="24"/>
                <w:szCs w:val="24"/>
              </w:rPr>
              <w:t xml:space="preserve">2</w:t>
            </w:r>
            <w:r>
              <w:rPr>
                <w:rFonts w:eastAsia="等线"/>
                <w:i/>
                <w:iCs/>
                <w:color w:val="000000"/>
                <w:sz w:val="24"/>
                <w:szCs w:val="24"/>
              </w:rPr>
            </w:r>
            <w:r/>
          </w:p>
        </w:tc>
      </w:tr>
    </w:tbl>
    <w:p>
      <w:pPr>
        <w:pStyle w:val="998"/>
        <w:ind w:firstLine="480"/>
        <w:spacing w:line="520" w:lineRule="exact"/>
        <w:widowControl/>
        <w:rPr>
          <w:rFonts w:eastAsia="仿宋"/>
          <w:i/>
          <w:iCs/>
          <w:sz w:val="24"/>
          <w:szCs w:val="24"/>
          <w:u w:val="single"/>
        </w:rPr>
      </w:pPr>
      <w:r>
        <w:rPr>
          <w:rFonts w:hint="eastAsia" w:eastAsia="仿宋"/>
          <w:i/>
          <w:iCs/>
          <w:sz w:val="24"/>
          <w:szCs w:val="24"/>
          <w:u w:val="single"/>
        </w:rPr>
        <w:t xml:space="preserve">投标人在价格部分的投标文件中分项报价不得超过分项预算。</w:t>
      </w:r>
      <w:r>
        <w:rPr>
          <w:rFonts w:eastAsia="仿宋"/>
          <w:i/>
          <w:iCs/>
          <w:sz w:val="24"/>
          <w:szCs w:val="24"/>
          <w:u w:val="single"/>
        </w:r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1010"/>
      </w:pPr>
      <w:r/>
      <w:r/>
    </w:p>
    <w:p>
      <w:pPr>
        <w:pStyle w:val="999"/>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8"/>
        <w:rPr>
          <w:rFonts w:hint="eastAsia"/>
        </w:rPr>
      </w:pPr>
      <w:r>
        <w:rPr>
          <w:rFonts w:hint="eastAsia"/>
        </w:rPr>
      </w:r>
      <w:r/>
    </w:p>
    <w:p>
      <w:pPr>
        <w:pStyle w:val="1087"/>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8"/>
        <w:gridCol w:w="6347"/>
      </w:tblGrid>
      <w:tr>
        <w:trPr/>
        <w:tc>
          <w:tcPr>
            <w:tcW w:w="2238" w:type="dxa"/>
            <w:vAlign w:val="top"/>
            <w:textDirection w:val="lrTb"/>
            <w:noWrap w:val="false"/>
          </w:tcPr>
          <w:p>
            <w:pPr>
              <w:pStyle w:val="99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347" w:type="dxa"/>
            <w:vAlign w:val="top"/>
            <w:textDirection w:val="lrTb"/>
            <w:noWrap w:val="false"/>
          </w:tcPr>
          <w:p>
            <w:pPr>
              <w:pStyle w:val="998"/>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238" w:type="dxa"/>
            <w:vAlign w:val="top"/>
            <w:textDirection w:val="lrTb"/>
            <w:noWrap w:val="false"/>
          </w:tcPr>
          <w:p>
            <w:pPr>
              <w:pStyle w:val="998"/>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347" w:type="dxa"/>
            <w:vAlign w:val="top"/>
            <w:textDirection w:val="lrTb"/>
            <w:noWrap w:val="false"/>
          </w:tcPr>
          <w:p>
            <w:pPr>
              <w:pStyle w:val="998"/>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1087"/>
        <w:ind w:firstLine="439"/>
        <w:rPr>
          <w:rFonts w:ascii="Times New Roman" w:hAnsi="Times New Roman" w:eastAsia="方正仿宋_GBK" w:cs="Times New Roman"/>
          <w:highlight w:val="yellow"/>
        </w:rPr>
      </w:pPr>
      <w:r>
        <w:rPr>
          <w:rFonts w:ascii="Times New Roman" w:hAnsi="Times New Roman" w:eastAsia="方正仿宋_GBK" w:cs="Times New Roman"/>
          <w:highlight w:val="yellow"/>
        </w:rPr>
      </w:r>
      <w:r/>
    </w:p>
    <w:p>
      <w:pPr>
        <w:pStyle w:val="1087"/>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998"/>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1、小微型企业价格扣除</w:t>
      </w:r>
      <w:r>
        <w:rPr>
          <w:rFonts w:ascii="Times New Roman" w:hAnsi="Times New Roman" w:eastAsia="方正仿宋_GBK" w:cs="Times New Roman"/>
          <w:highlight w:val="yellow"/>
        </w:rPr>
      </w:r>
      <w:r/>
    </w:p>
    <w:p>
      <w:pPr>
        <w:pStyle w:val="1087"/>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（1）本项目对小型和微型企业提供的服务给予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的扣除价格，用扣除后的价格参与评审。</w:t>
      </w:r>
      <w:r>
        <w:rPr>
          <w:rFonts w:ascii="Times New Roman" w:hAnsi="Times New Roman" w:eastAsia="方正仿宋_GBK" w:cs="Times New Roman"/>
        </w:rPr>
      </w:r>
      <w:r/>
    </w:p>
    <w:p>
      <w:pPr>
        <w:pStyle w:val="1087"/>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（2）供应商需按照采购文件的要求提供相应的《小微企业声明函》。</w:t>
      </w:r>
      <w:r>
        <w:rPr>
          <w:rFonts w:ascii="Times New Roman" w:hAnsi="Times New Roman" w:eastAsia="方正仿宋_GBK" w:cs="Times New Roman"/>
        </w:rPr>
      </w:r>
      <w:r/>
    </w:p>
    <w:p>
      <w:pPr>
        <w:pStyle w:val="1087"/>
        <w:ind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（3）企业标准请参照《关于印发中小企业划型标准规定的通知》（工信部联企业[2011]300号）文件规定自行填写。</w:t>
      </w:r>
      <w:r>
        <w:rPr>
          <w:rFonts w:ascii="Times New Roman" w:hAnsi="Times New Roman" w:eastAsia="方正仿宋_GBK" w:cs="Times New Roman"/>
        </w:rPr>
      </w:r>
      <w:r/>
    </w:p>
    <w:p>
      <w:pPr>
        <w:pStyle w:val="1087"/>
        <w:spacing w:line="0" w:lineRule="atLeast"/>
        <w:rPr>
          <w:rFonts w:ascii="Times New Roman" w:hAnsi="Times New Roman" w:eastAsia="方正仿宋_GBK" w:cs="Times New Roman"/>
        </w:rPr>
      </w:pPr>
      <w:r>
        <w:rPr>
          <w:rFonts w:ascii="Times New Roman" w:hAnsi="Times New Roman" w:eastAsia="方正仿宋_GBK" w:cs="Times New Roman"/>
        </w:rPr>
        <w:t xml:space="preserve">2、残疾人福利单位价格扣除</w:t>
      </w:r>
      <w:r>
        <w:rPr>
          <w:rFonts w:ascii="Times New Roman" w:hAnsi="Times New Roman" w:eastAsia="方正仿宋_GBK" w:cs="Times New Roman"/>
        </w:rPr>
      </w:r>
      <w:r/>
    </w:p>
    <w:p>
      <w:pPr>
        <w:pStyle w:val="1087"/>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（1）本项目对残疾人福利性单位视同小型、微型企业，给</w:t>
      </w:r>
      <w:r>
        <w:rPr>
          <w:rFonts w:ascii="Times New Roman" w:hAnsi="Times New Roman" w:eastAsia="方正仿宋_GBK" w:cs="Times New Roman"/>
          <w:highlight w:val="none"/>
        </w:rPr>
        <w:t xml:space="preserve">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87"/>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（2）残疾人福利单位需按照采购文件的要求提供《残疾人福利性单位声明函》。</w:t>
      </w:r>
      <w:r>
        <w:rPr>
          <w:rFonts w:ascii="Times New Roman" w:hAnsi="Times New Roman" w:eastAsia="方正仿宋_GBK" w:cs="Times New Roman"/>
        </w:rPr>
      </w:r>
      <w:r/>
    </w:p>
    <w:p>
      <w:pPr>
        <w:pStyle w:val="1087"/>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（3）残疾人福利单位标准请参照《关于促进残疾人就业政府采购政策的通知》（财库〔2017〕141号）。</w:t>
      </w:r>
      <w:r>
        <w:rPr>
          <w:rFonts w:ascii="Times New Roman" w:hAnsi="Times New Roman" w:eastAsia="方正仿宋_GBK" w:cs="Times New Roman"/>
        </w:rPr>
      </w:r>
      <w:r/>
    </w:p>
    <w:p>
      <w:pPr>
        <w:pStyle w:val="1087"/>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3、监狱和戒毒企业价格扣除</w:t>
      </w:r>
      <w:r>
        <w:rPr>
          <w:rFonts w:ascii="Times New Roman" w:hAnsi="Times New Roman" w:eastAsia="方正仿宋_GBK" w:cs="Times New Roman"/>
        </w:rPr>
      </w:r>
      <w:r/>
    </w:p>
    <w:p>
      <w:pPr>
        <w:pStyle w:val="1087"/>
        <w:spacing w:line="0" w:lineRule="atLeast"/>
        <w:rPr>
          <w:rFonts w:ascii="Times New Roman" w:hAnsi="Times New Roman" w:eastAsia="方正仿宋_GBK" w:cs="Times New Roman"/>
        </w:rPr>
      </w:pPr>
      <w:r>
        <w:rPr>
          <w:rFonts w:ascii="Times New Roman" w:hAnsi="Times New Roman" w:eastAsia="方正仿宋_GBK" w:cs="Times New Roman"/>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87"/>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1087"/>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1087"/>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1087"/>
        <w:ind w:left="120" w:firstLine="360"/>
        <w:spacing w:line="0" w:lineRule="atLeast"/>
        <w:rPr>
          <w:rFonts w:ascii="Times New Roman" w:hAnsi="Times New Roman" w:eastAsia="方正仿宋_GBK" w:cs="Times New Roman"/>
        </w:rPr>
      </w:pPr>
      <w:r>
        <w:rPr>
          <w:rFonts w:ascii="Times New Roman" w:hAnsi="Times New Roman" w:eastAsia="方正仿宋_GBK" w:cs="Times New Roma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eastAsia="方正仿宋_GBK" w:cs="Times New Roman"/>
          <w:lang w:val="en-US" w:eastAsia="zh-CN"/>
        </w:rPr>
        <w:t xml:space="preserve">6</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108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108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1087"/>
        <w:numPr>
          <w:ilvl w:val="0"/>
          <w:numId w:val="24"/>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98"/>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98"/>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10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87"/>
        <w:numPr>
          <w:ilvl w:val="0"/>
          <w:numId w:val="24"/>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78</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序号</w:t>
            </w:r>
            <w:r>
              <w:rPr>
                <w:rFonts w:ascii="Times New Roman" w:hAnsi="Times New Roman" w:eastAsia="方正仿宋_GBK"/>
                <w:b/>
              </w:rPr>
            </w:r>
            <w:r/>
          </w:p>
        </w:tc>
        <w:tc>
          <w:tcPr>
            <w:tcW w:w="1425"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评分点名称</w:t>
            </w:r>
            <w:r>
              <w:rPr>
                <w:rFonts w:ascii="Times New Roman" w:hAnsi="Times New Roman" w:eastAsia="方正仿宋_GBK"/>
                <w:b/>
              </w:rPr>
            </w:r>
            <w:r/>
          </w:p>
        </w:tc>
        <w:tc>
          <w:tcPr>
            <w:tcW w:w="3525" w:type="dxa"/>
            <w:vAlign w:val="top"/>
            <w:textDirection w:val="lrTb"/>
            <w:noWrap w:val="false"/>
          </w:tcPr>
          <w:p>
            <w:pPr>
              <w:pStyle w:val="1087"/>
              <w:ind w:firstLine="0"/>
              <w:jc w:val="center"/>
              <w:spacing w:line="0" w:lineRule="atLeast"/>
              <w:rPr>
                <w:rFonts w:ascii="Times New Roman" w:hAnsi="Times New Roman" w:eastAsia="方正仿宋_GBK"/>
                <w:b/>
              </w:rPr>
            </w:pPr>
            <w:r>
              <w:rPr>
                <w:rFonts w:ascii="Times New Roman" w:hAnsi="Times New Roman" w:eastAsia="方正仿宋_GBK"/>
                <w:b/>
              </w:rPr>
              <w:t xml:space="preserve">评审标准</w:t>
            </w:r>
            <w:r>
              <w:rPr>
                <w:rFonts w:ascii="Times New Roman" w:hAnsi="Times New Roman" w:eastAsia="方正仿宋_GBK"/>
                <w:b/>
              </w:rPr>
            </w:r>
            <w:r/>
          </w:p>
        </w:tc>
        <w:tc>
          <w:tcPr>
            <w:tcW w:w="1020"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最高分</w:t>
            </w:r>
            <w:r>
              <w:rPr>
                <w:rFonts w:ascii="Times New Roman" w:hAnsi="Times New Roman" w:eastAsia="方正仿宋_GBK"/>
                <w:b/>
              </w:rPr>
            </w:r>
            <w:r/>
          </w:p>
        </w:tc>
        <w:tc>
          <w:tcPr>
            <w:tcW w:w="1110"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最低分</w:t>
            </w:r>
            <w:r>
              <w:rPr>
                <w:rFonts w:ascii="Times New Roman" w:hAnsi="Times New Roman" w:eastAsia="方正仿宋_GBK"/>
                <w:b/>
              </w:rPr>
            </w:r>
            <w:r/>
          </w:p>
        </w:tc>
        <w:tc>
          <w:tcPr>
            <w:tcW w:w="1321"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主/客观分</w:t>
            </w:r>
            <w:r>
              <w:rPr>
                <w:rFonts w:ascii="Times New Roman" w:hAnsi="Times New Roman" w:eastAsia="方正仿宋_GBK"/>
                <w:b/>
              </w:rPr>
            </w:r>
            <w:r/>
          </w:p>
        </w:tc>
      </w:tr>
      <w:tr>
        <w:trPr/>
        <w:tc>
          <w:tcPr>
            <w:tcW w:w="766" w:type="dxa"/>
            <w:vAlign w:val="center"/>
            <w:textDirection w:val="lrTb"/>
            <w:noWrap w:val="false"/>
          </w:tcPr>
          <w:p>
            <w:pPr>
              <w:pStyle w:val="1087"/>
              <w:ind w:firstLine="0"/>
              <w:jc w:val="center"/>
              <w:spacing w:line="0" w:lineRule="atLeast"/>
              <w:rPr>
                <w:rFonts w:ascii="Times New Roman" w:hAnsi="Times New Roman" w:eastAsia="仿宋"/>
                <w:bCs/>
                <w:sz w:val="20"/>
                <w:szCs w:val="20"/>
              </w:rPr>
            </w:pPr>
            <w:r>
              <w:rPr>
                <w:rFonts w:ascii="Times New Roman" w:hAnsi="Times New Roman" w:eastAsia="仿宋"/>
                <w:bCs/>
                <w:sz w:val="20"/>
                <w:szCs w:val="20"/>
              </w:rPr>
              <w:t xml:space="preserve">1</w:t>
            </w:r>
            <w:r>
              <w:rPr>
                <w:rFonts w:ascii="Times New Roman" w:hAnsi="Times New Roman" w:eastAsia="仿宋"/>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仿宋"/>
                <w:color w:val="000000"/>
                <w:sz w:val="20"/>
                <w:szCs w:val="20"/>
                <w:lang w:bidi="ar"/>
              </w:rPr>
            </w:pPr>
            <w:r>
              <w:rPr>
                <w:rFonts w:hint="eastAsia" w:ascii="Times New Roman" w:hAnsi="Times New Roman" w:eastAsia="仿宋"/>
                <w:color w:val="000000"/>
                <w:sz w:val="20"/>
                <w:szCs w:val="20"/>
                <w:lang w:bidi="ar"/>
              </w:rPr>
              <w:t xml:space="preserve">技术参数</w:t>
            </w:r>
            <w:r>
              <w:rPr>
                <w:rFonts w:ascii="Times New Roman" w:hAnsi="Times New Roman" w:eastAsia="仿宋"/>
                <w:color w:val="000000"/>
                <w:sz w:val="20"/>
                <w:szCs w:val="20"/>
                <w:lang w:bidi="ar"/>
              </w:rPr>
            </w:r>
            <w:r/>
          </w:p>
        </w:tc>
        <w:tc>
          <w:tcPr>
            <w:tcW w:w="3525" w:type="dxa"/>
            <w:vAlign w:val="top"/>
            <w:textDirection w:val="lrTb"/>
            <w:noWrap w:val="false"/>
          </w:tcPr>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针对采购需求-第二项技术要求的</w:t>
            </w:r>
            <w:r>
              <w:rPr>
                <w:rFonts w:ascii="Times New Roman" w:hAnsi="Times New Roman" w:eastAsia="仿宋"/>
                <w:color w:val="000000"/>
                <w:sz w:val="20"/>
                <w:szCs w:val="21"/>
              </w:rPr>
              <w:t xml:space="preserve">技术参数</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t xml:space="preserve">▲</w:t>
            </w:r>
            <w:r>
              <w:rPr>
                <w:rFonts w:hint="eastAsia" w:ascii="Times New Roman" w:hAnsi="Times New Roman" w:eastAsia="仿宋"/>
                <w:color w:val="000000"/>
                <w:sz w:val="20"/>
                <w:szCs w:val="21"/>
              </w:rPr>
              <w:t xml:space="preserve">为重要参数每项负偏离扣</w:t>
            </w:r>
            <w:r>
              <w:rPr>
                <w:rFonts w:ascii="Times New Roman" w:hAnsi="Times New Roman" w:eastAsia="仿宋"/>
                <w:color w:val="000000"/>
                <w:sz w:val="20"/>
                <w:szCs w:val="21"/>
              </w:rPr>
              <w:t xml:space="preserve">0.5</w:t>
            </w:r>
            <w:r>
              <w:rPr>
                <w:rFonts w:hint="eastAsia" w:ascii="Times New Roman" w:hAnsi="Times New Roman" w:eastAsia="仿宋"/>
                <w:color w:val="000000"/>
                <w:sz w:val="20"/>
                <w:szCs w:val="21"/>
              </w:rPr>
              <w:t xml:space="preserve">分，其余参数</w:t>
            </w:r>
            <w:r>
              <w:rPr>
                <w:rFonts w:ascii="Times New Roman" w:hAnsi="Times New Roman" w:eastAsia="仿宋"/>
                <w:color w:val="000000"/>
                <w:sz w:val="20"/>
                <w:szCs w:val="21"/>
              </w:rPr>
              <w:t xml:space="preserve">每项负偏离</w:t>
            </w:r>
            <w:r>
              <w:rPr>
                <w:rFonts w:ascii="Times New Roman" w:hAnsi="Times New Roman" w:eastAsia="仿宋"/>
                <w:color w:val="000000"/>
                <w:sz w:val="20"/>
                <w:szCs w:val="21"/>
                <w:highlight w:val="none"/>
              </w:rPr>
              <w:t xml:space="preserve">扣</w:t>
            </w:r>
            <w:r>
              <w:rPr>
                <w:rFonts w:hint="eastAsia" w:ascii="Times New Roman" w:hAnsi="Times New Roman" w:eastAsia="仿宋"/>
                <w:color w:val="000000"/>
                <w:sz w:val="20"/>
                <w:szCs w:val="21"/>
                <w:highlight w:val="none"/>
              </w:rPr>
              <w:t xml:space="preserve">0</w:t>
            </w:r>
            <w:r>
              <w:rPr>
                <w:rFonts w:ascii="Times New Roman" w:hAnsi="Times New Roman" w:eastAsia="仿宋"/>
                <w:color w:val="000000"/>
                <w:sz w:val="20"/>
                <w:szCs w:val="21"/>
                <w:highlight w:val="none"/>
              </w:rPr>
              <w:t xml:space="preserve">.1分，</w:t>
            </w:r>
            <w:r>
              <w:rPr>
                <w:rFonts w:ascii="Times New Roman" w:hAnsi="Times New Roman" w:eastAsia="仿宋"/>
                <w:color w:val="000000"/>
                <w:sz w:val="20"/>
                <w:szCs w:val="21"/>
              </w:rPr>
              <w:t xml:space="preserve">最低得0分</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t xml:space="preserve">须提供技术参数偏离表</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r>
            <w:r/>
          </w:p>
          <w:p>
            <w:pPr>
              <w:pStyle w:val="1087"/>
              <w:ind w:firstLine="0"/>
              <w:jc w:val="both"/>
              <w:spacing w:before="0" w:after="0"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注：</w:t>
            </w:r>
            <w:r>
              <w:rPr>
                <w:rFonts w:ascii="Times New Roman" w:hAnsi="Times New Roman" w:eastAsia="仿宋"/>
                <w:color w:val="000000"/>
                <w:sz w:val="20"/>
                <w:szCs w:val="21"/>
              </w:rPr>
              <w:t xml:space="preserve">▲</w:t>
            </w:r>
            <w:r>
              <w:rPr>
                <w:rFonts w:hint="eastAsia" w:ascii="Times New Roman" w:hAnsi="Times New Roman" w:eastAsia="仿宋"/>
                <w:color w:val="000000"/>
                <w:sz w:val="20"/>
                <w:szCs w:val="21"/>
              </w:rPr>
              <w:t xml:space="preserve">为重要参数，须提供</w:t>
            </w:r>
            <w:r>
              <w:rPr>
                <w:rFonts w:ascii="Times New Roman" w:hAnsi="Times New Roman" w:eastAsia="仿宋"/>
                <w:color w:val="000000"/>
                <w:sz w:val="20"/>
                <w:szCs w:val="21"/>
              </w:rPr>
              <w:t xml:space="preserve">有效证明材料并加盖公章。</w:t>
            </w:r>
            <w:r>
              <w:rPr>
                <w:rFonts w:hint="eastAsia"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ascii="Times New Roman" w:hAnsi="Times New Roman" w:eastAsia="仿宋"/>
                <w:b/>
                <w:sz w:val="20"/>
                <w:szCs w:val="20"/>
              </w:rPr>
              <w:t xml:space="preserve">21</w:t>
            </w:r>
            <w:r>
              <w:rPr>
                <w:rFonts w:hint="eastAsia" w:ascii="Times New Roman" w:hAnsi="Times New Roman" w:eastAsia="仿宋"/>
                <w:b/>
                <w:sz w:val="20"/>
                <w:szCs w:val="20"/>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客观分</w:t>
            </w:r>
            <w:r>
              <w:rPr>
                <w:rFonts w:hint="eastAsia"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ascii="Times New Roman" w:hAnsi="Times New Roman" w:eastAsia="仿宋"/>
                <w:bCs/>
                <w:sz w:val="20"/>
                <w:szCs w:val="20"/>
              </w:rPr>
            </w:pPr>
            <w:r>
              <w:rPr>
                <w:rFonts w:hint="eastAsia" w:ascii="Times New Roman" w:hAnsi="Times New Roman" w:eastAsia="方正仿宋_GBK"/>
                <w:bCs/>
                <w:sz w:val="20"/>
                <w:szCs w:val="20"/>
              </w:rPr>
              <w:t xml:space="preserve">2</w:t>
            </w:r>
            <w:r>
              <w:rPr>
                <w:rFonts w:ascii="Times New Roman" w:hAnsi="Times New Roman" w:eastAsia="仿宋"/>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仿宋"/>
                <w:b/>
              </w:rPr>
            </w:pPr>
            <w:r>
              <w:rPr>
                <w:rFonts w:ascii="Times New Roman" w:hAnsi="Times New Roman" w:eastAsia="仿宋"/>
                <w:color w:val="000000"/>
                <w:sz w:val="20"/>
                <w:szCs w:val="20"/>
                <w:lang w:bidi="ar"/>
              </w:rPr>
              <w:t xml:space="preserve">企业管理体系</w:t>
            </w:r>
            <w:r>
              <w:rPr>
                <w:rFonts w:ascii="Times New Roman" w:hAnsi="Times New Roman" w:eastAsia="仿宋"/>
                <w:b/>
              </w:rPr>
            </w:r>
            <w:r/>
          </w:p>
        </w:tc>
        <w:tc>
          <w:tcPr>
            <w:tcW w:w="3525" w:type="dxa"/>
            <w:vAlign w:val="top"/>
            <w:textDirection w:val="lrTb"/>
            <w:noWrap w:val="false"/>
          </w:tcPr>
          <w:p>
            <w:pPr>
              <w:pStyle w:val="1087"/>
              <w:ind w:firstLine="0"/>
              <w:jc w:val="both"/>
              <w:spacing w:line="0" w:lineRule="atLeast"/>
              <w:rPr>
                <w:rFonts w:ascii="Times New Roman" w:hAnsi="Times New Roman" w:eastAsia="仿宋"/>
                <w:b/>
              </w:rPr>
            </w:pPr>
            <w:r>
              <w:rPr>
                <w:rFonts w:ascii="Times New Roman" w:hAnsi="Times New Roman" w:eastAsia="仿宋"/>
                <w:color w:val="000000"/>
                <w:sz w:val="20"/>
                <w:szCs w:val="21"/>
              </w:rPr>
              <w:t xml:space="preserve">提供投标人或软件厂家的ISO9001质量管理体系认证证书、ISO20000 IT服务管理体系认证证书、ISO14001环境管理体系认证，以上证书每提供1个得</w:t>
            </w:r>
            <w:r>
              <w:rPr>
                <w:rFonts w:hint="eastAsia" w:ascii="Times New Roman" w:hAnsi="Times New Roman" w:eastAsia="仿宋"/>
                <w:color w:val="000000"/>
                <w:sz w:val="20"/>
                <w:szCs w:val="21"/>
              </w:rPr>
              <w:t xml:space="preserve">1</w:t>
            </w:r>
            <w:r>
              <w:rPr>
                <w:rFonts w:ascii="Times New Roman" w:hAnsi="Times New Roman" w:eastAsia="仿宋"/>
                <w:color w:val="000000"/>
                <w:sz w:val="20"/>
                <w:szCs w:val="21"/>
              </w:rPr>
              <w:t xml:space="preserve">分，最高得</w:t>
            </w:r>
            <w:r>
              <w:rPr>
                <w:rFonts w:hint="eastAsia" w:ascii="Times New Roman" w:hAnsi="Times New Roman" w:eastAsia="仿宋"/>
                <w:color w:val="000000"/>
                <w:sz w:val="20"/>
                <w:szCs w:val="21"/>
                <w:lang w:val="en-US" w:eastAsia="zh-CN"/>
              </w:rPr>
              <w:t xml:space="preserve">3</w:t>
            </w:r>
            <w:r>
              <w:rPr>
                <w:rFonts w:ascii="Times New Roman" w:hAnsi="Times New Roman" w:eastAsia="仿宋"/>
                <w:color w:val="000000"/>
                <w:sz w:val="20"/>
                <w:szCs w:val="21"/>
              </w:rPr>
              <w:t xml:space="preserve">分。</w:t>
            </w:r>
            <w:r>
              <w:rPr>
                <w:rFonts w:ascii="Times New Roman" w:hAnsi="Times New Roman" w:eastAsia="仿宋"/>
                <w:b/>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lang w:eastAsia="zh-CN"/>
              </w:rPr>
            </w:pPr>
            <w:r>
              <w:rPr>
                <w:rFonts w:hint="eastAsia" w:ascii="Times New Roman" w:hAnsi="Times New Roman" w:eastAsia="仿宋"/>
                <w:b/>
                <w:sz w:val="20"/>
                <w:szCs w:val="20"/>
                <w:lang w:val="en-US" w:eastAsia="zh-CN"/>
              </w:rPr>
              <w:t xml:space="preserve">3</w:t>
            </w:r>
            <w:r>
              <w:rPr>
                <w:rFonts w:hint="eastAsia" w:ascii="Times New Roman" w:hAnsi="Times New Roman" w:eastAsia="仿宋"/>
                <w:b/>
                <w:sz w:val="20"/>
                <w:szCs w:val="20"/>
                <w:lang w:eastAsia="zh-CN"/>
              </w:rPr>
            </w:r>
            <w:r/>
          </w:p>
        </w:tc>
        <w:tc>
          <w:tcPr>
            <w:tcW w:w="1110" w:type="dxa"/>
            <w:vAlign w:val="center"/>
            <w:textDirection w:val="lrTb"/>
            <w:noWrap w:val="false"/>
          </w:tcPr>
          <w:p>
            <w:pPr>
              <w:pStyle w:val="1087"/>
              <w:ind w:firstLine="0"/>
              <w:jc w:val="center"/>
              <w:spacing w:line="0" w:lineRule="atLeast"/>
              <w:rPr>
                <w:rFonts w:ascii="Times New Roman" w:hAnsi="Times New Roman" w:eastAsia="仿宋"/>
                <w:b/>
                <w:sz w:val="20"/>
                <w:szCs w:val="20"/>
              </w:rPr>
            </w:pPr>
            <w:r>
              <w:rPr>
                <w:rFonts w:hint="eastAsia" w:ascii="Times New Roman" w:hAnsi="Times New Roman" w:eastAsia="仿宋"/>
                <w:b/>
                <w:sz w:val="20"/>
                <w:szCs w:val="20"/>
              </w:rPr>
              <w:t xml:space="preserve">0</w:t>
            </w:r>
            <w:r>
              <w:rPr>
                <w:rFonts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ascii="Times New Roman" w:hAnsi="Times New Roman" w:eastAsia="仿宋"/>
                <w:b/>
                <w:sz w:val="20"/>
                <w:szCs w:val="20"/>
              </w:rPr>
            </w:pPr>
            <w:r>
              <w:rPr>
                <w:rFonts w:hint="eastAsia" w:ascii="Times New Roman" w:hAnsi="Times New Roman" w:eastAsia="仿宋"/>
                <w:b/>
                <w:sz w:val="20"/>
                <w:szCs w:val="20"/>
              </w:rPr>
              <w:t xml:space="preserve">客观分</w:t>
            </w:r>
            <w:r>
              <w:rPr>
                <w:rFonts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ascii="Times New Roman" w:hAnsi="Times New Roman" w:eastAsia="方正仿宋_GBK"/>
                <w:bCs/>
                <w:sz w:val="20"/>
                <w:szCs w:val="20"/>
              </w:rPr>
            </w:pPr>
            <w:r>
              <w:rPr>
                <w:rFonts w:hint="eastAsia" w:ascii="Times New Roman" w:hAnsi="Times New Roman" w:eastAsia="方正仿宋_GBK"/>
                <w:bCs/>
                <w:sz w:val="20"/>
                <w:szCs w:val="20"/>
              </w:rPr>
              <w:t xml:space="preserve">3</w:t>
            </w:r>
            <w:r>
              <w:rPr>
                <w:rFonts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方正仿宋_GBK"/>
                <w:bCs/>
                <w:sz w:val="20"/>
                <w:szCs w:val="20"/>
              </w:rPr>
            </w:pPr>
            <w:r>
              <w:rPr>
                <w:rFonts w:hint="eastAsia" w:ascii="Times New Roman" w:hAnsi="Times New Roman" w:eastAsia="仿宋"/>
                <w:bCs/>
                <w:sz w:val="20"/>
                <w:szCs w:val="20"/>
              </w:rPr>
              <w:t xml:space="preserve">企业产品能力</w:t>
            </w:r>
            <w:r>
              <w:rPr>
                <w:rFonts w:ascii="Times New Roman" w:hAnsi="Times New Roman" w:eastAsia="方正仿宋_GBK"/>
                <w:bCs/>
                <w:sz w:val="20"/>
                <w:szCs w:val="20"/>
              </w:rPr>
            </w:r>
            <w:r/>
          </w:p>
        </w:tc>
        <w:tc>
          <w:tcPr>
            <w:tcW w:w="3525" w:type="dxa"/>
            <w:vAlign w:val="center"/>
            <w:textDirection w:val="lrTb"/>
            <w:noWrap w:val="false"/>
          </w:tcPr>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为保障全民健康信息平台与各类国产化软硬件产品的兼容性，投标人或软件厂家需完成产品兼容性测试，证明平台能够达到通用兼容性要求及性能、可靠性要求，满足用户应用需求，提供以下几类产品兼容性认证证</w:t>
            </w:r>
            <w:r>
              <w:rPr>
                <w:rFonts w:hint="eastAsia" w:ascii="Times New Roman" w:hAnsi="Times New Roman" w:eastAsia="仿宋"/>
                <w:color w:val="000000"/>
                <w:sz w:val="20"/>
                <w:szCs w:val="21"/>
                <w:lang w:val="en-US" w:eastAsia="zh-CN"/>
              </w:rPr>
              <w:t xml:space="preserve">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1）提供全民健康信息平台与国产数据库适配兼容性认证</w:t>
            </w:r>
            <w:r>
              <w:rPr>
                <w:rFonts w:hint="eastAsia" w:ascii="Times New Roman" w:hAnsi="Times New Roman" w:eastAsia="仿宋"/>
                <w:color w:val="000000"/>
                <w:sz w:val="20"/>
                <w:szCs w:val="21"/>
                <w:lang w:val="en-US" w:eastAsia="zh-CN"/>
              </w:rPr>
              <w:t xml:space="preserve">证明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2）提供全民健康信息平台与国产中间件适配兼容性认证</w:t>
            </w:r>
            <w:r>
              <w:rPr>
                <w:rFonts w:hint="eastAsia" w:ascii="Times New Roman" w:hAnsi="Times New Roman" w:eastAsia="仿宋"/>
                <w:color w:val="000000"/>
                <w:sz w:val="20"/>
                <w:szCs w:val="21"/>
                <w:lang w:val="en-US" w:eastAsia="zh-CN"/>
              </w:rPr>
              <w:t xml:space="preserve">证明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3）提供全民健康信息平台与国产服务器操作系统适配兼容性认证</w:t>
            </w:r>
            <w:r>
              <w:rPr>
                <w:rFonts w:hint="eastAsia" w:ascii="Times New Roman" w:hAnsi="Times New Roman" w:eastAsia="仿宋"/>
                <w:color w:val="000000"/>
                <w:sz w:val="20"/>
                <w:szCs w:val="21"/>
                <w:lang w:val="en-US" w:eastAsia="zh-CN"/>
              </w:rPr>
              <w:t xml:space="preserve">证明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4）提供全民健康信息平台与国产桌面操作系统适配兼容性认证</w:t>
            </w:r>
            <w:r>
              <w:rPr>
                <w:rFonts w:hint="eastAsia" w:ascii="Times New Roman" w:hAnsi="Times New Roman" w:eastAsia="仿宋"/>
                <w:color w:val="000000"/>
                <w:sz w:val="20"/>
                <w:szCs w:val="21"/>
                <w:lang w:val="en-US" w:eastAsia="zh-CN"/>
              </w:rPr>
              <w:t xml:space="preserve">证明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5）提供全民健康信息平台与国产芯片适配兼容性认证</w:t>
            </w:r>
            <w:r>
              <w:rPr>
                <w:rFonts w:hint="eastAsia" w:ascii="Times New Roman" w:hAnsi="Times New Roman" w:eastAsia="仿宋"/>
                <w:color w:val="000000"/>
                <w:sz w:val="20"/>
                <w:szCs w:val="21"/>
                <w:lang w:val="en-US" w:eastAsia="zh-CN"/>
              </w:rPr>
              <w:t xml:space="preserve">证明</w:t>
            </w:r>
            <w:r>
              <w:rPr>
                <w:rFonts w:hint="eastAsia" w:ascii="Times New Roman" w:hAnsi="Times New Roman" w:eastAsia="仿宋"/>
                <w:color w:val="000000"/>
                <w:sz w:val="20"/>
                <w:szCs w:val="21"/>
              </w:rPr>
              <w:t xml:space="preserve">；</w:t>
            </w:r>
            <w:r>
              <w:rPr>
                <w:rFonts w:hint="eastAsia" w:ascii="Times New Roman" w:hAnsi="Times New Roman" w:eastAsia="仿宋"/>
                <w:color w:val="000000"/>
                <w:sz w:val="20"/>
                <w:szCs w:val="21"/>
              </w:rPr>
            </w:r>
            <w:r/>
          </w:p>
          <w:p>
            <w:pPr>
              <w:pStyle w:val="1087"/>
              <w:ind w:firstLine="0"/>
              <w:jc w:val="both"/>
              <w:spacing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以上证书，每提供1个得</w:t>
            </w:r>
            <w:r>
              <w:rPr>
                <w:rFonts w:ascii="Times New Roman" w:hAnsi="Times New Roman" w:eastAsia="仿宋"/>
                <w:color w:val="000000"/>
                <w:sz w:val="20"/>
                <w:szCs w:val="21"/>
              </w:rPr>
              <w:t xml:space="preserve">1</w:t>
            </w:r>
            <w:r>
              <w:rPr>
                <w:rFonts w:hint="eastAsia" w:ascii="Times New Roman" w:hAnsi="Times New Roman" w:eastAsia="仿宋"/>
                <w:color w:val="000000"/>
                <w:sz w:val="20"/>
                <w:szCs w:val="21"/>
              </w:rPr>
              <w:t xml:space="preserve">分，最高得5分。</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ascii="Times New Roman" w:hAnsi="Times New Roman" w:eastAsia="方正仿宋_GBK"/>
                <w:b/>
              </w:rPr>
            </w:pPr>
            <w:r>
              <w:rPr>
                <w:rFonts w:ascii="Times New Roman" w:hAnsi="Times New Roman" w:eastAsia="仿宋"/>
                <w:b/>
                <w:sz w:val="20"/>
                <w:szCs w:val="20"/>
              </w:rPr>
              <w:t xml:space="preserve">5</w:t>
            </w:r>
            <w:r>
              <w:rPr>
                <w:rFonts w:ascii="Times New Roman" w:hAnsi="Times New Roman" w:eastAsia="方正仿宋_GBK"/>
                <w:b/>
              </w:rPr>
            </w:r>
            <w:r/>
          </w:p>
        </w:tc>
        <w:tc>
          <w:tcPr>
            <w:tcW w:w="1110" w:type="dxa"/>
            <w:vAlign w:val="center"/>
            <w:textDirection w:val="lrTb"/>
            <w:noWrap w:val="false"/>
          </w:tcPr>
          <w:p>
            <w:pPr>
              <w:pStyle w:val="1087"/>
              <w:ind w:firstLine="0"/>
              <w:jc w:val="center"/>
              <w:spacing w:line="0" w:lineRule="atLeast"/>
              <w:rPr>
                <w:rFonts w:ascii="Times New Roman" w:hAnsi="Times New Roman" w:eastAsia="方正仿宋_GBK"/>
                <w:b/>
              </w:rPr>
            </w:pPr>
            <w:r>
              <w:rPr>
                <w:rFonts w:hint="eastAsia" w:ascii="Times New Roman" w:hAnsi="Times New Roman" w:eastAsia="仿宋"/>
                <w:b/>
                <w:sz w:val="20"/>
                <w:szCs w:val="20"/>
              </w:rPr>
              <w:t xml:space="preserve">0</w:t>
            </w:r>
            <w:r>
              <w:rPr>
                <w:rFonts w:ascii="Times New Roman" w:hAnsi="Times New Roman" w:eastAsia="方正仿宋_GBK"/>
                <w:b/>
              </w:rPr>
            </w:r>
            <w:r/>
          </w:p>
        </w:tc>
        <w:tc>
          <w:tcPr>
            <w:tcW w:w="1321" w:type="dxa"/>
            <w:vAlign w:val="center"/>
            <w:textDirection w:val="lrTb"/>
            <w:noWrap w:val="false"/>
          </w:tcPr>
          <w:p>
            <w:pPr>
              <w:pStyle w:val="1087"/>
              <w:ind w:firstLine="0"/>
              <w:jc w:val="center"/>
              <w:spacing w:line="0" w:lineRule="atLeast"/>
              <w:rPr>
                <w:rFonts w:ascii="Times New Roman" w:hAnsi="Times New Roman" w:eastAsia="方正仿宋_GBK"/>
                <w:b/>
              </w:rPr>
            </w:pPr>
            <w:r>
              <w:rPr>
                <w:rFonts w:hint="eastAsia" w:ascii="Times New Roman" w:hAnsi="Times New Roman" w:eastAsia="仿宋"/>
                <w:b/>
                <w:sz w:val="20"/>
                <w:szCs w:val="20"/>
              </w:rPr>
              <w:t xml:space="preserve">客观分</w:t>
            </w:r>
            <w:r>
              <w:rPr>
                <w:rFonts w:ascii="Times New Roman" w:hAnsi="Times New Roman" w:eastAsia="方正仿宋_GBK"/>
                <w:b/>
              </w:rPr>
            </w:r>
            <w:r/>
          </w:p>
        </w:tc>
      </w:tr>
      <w:tr>
        <w:trPr/>
        <w:tc>
          <w:tcPr>
            <w:tcW w:w="766" w:type="dxa"/>
            <w:vAlign w:val="center"/>
            <w:textDirection w:val="lrTb"/>
            <w:noWrap w:val="false"/>
          </w:tcPr>
          <w:p>
            <w:pPr>
              <w:pStyle w:val="1087"/>
              <w:ind w:firstLine="0"/>
              <w:jc w:val="center"/>
              <w:spacing w:line="0" w:lineRule="atLeast"/>
              <w:rPr>
                <w:rFonts w:ascii="Times New Roman" w:hAnsi="Times New Roman" w:eastAsia="方正仿宋_GBK"/>
                <w:bCs/>
                <w:sz w:val="20"/>
                <w:szCs w:val="20"/>
              </w:rPr>
            </w:pPr>
            <w:r>
              <w:rPr>
                <w:rFonts w:hint="eastAsia" w:ascii="Times New Roman" w:hAnsi="Times New Roman" w:eastAsia="方正仿宋_GBK"/>
                <w:bCs/>
                <w:sz w:val="20"/>
                <w:szCs w:val="20"/>
              </w:rPr>
              <w:t xml:space="preserve">4</w:t>
            </w:r>
            <w:r>
              <w:rPr>
                <w:rFonts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方正仿宋_GBK"/>
                <w:b/>
              </w:rPr>
            </w:pPr>
            <w:r>
              <w:rPr>
                <w:rFonts w:hint="eastAsia" w:ascii="Times New Roman" w:hAnsi="Times New Roman" w:eastAsia="仿宋"/>
                <w:bCs/>
                <w:sz w:val="20"/>
                <w:szCs w:val="20"/>
              </w:rPr>
              <w:t xml:space="preserve">项目技术方案</w:t>
            </w:r>
            <w:r>
              <w:rPr>
                <w:rFonts w:ascii="Times New Roman" w:hAnsi="Times New Roman" w:eastAsia="方正仿宋_GBK"/>
                <w:b/>
              </w:rPr>
            </w:r>
            <w:r/>
          </w:p>
        </w:tc>
        <w:tc>
          <w:tcPr>
            <w:tcW w:w="3525" w:type="dxa"/>
            <w:vAlign w:val="top"/>
            <w:textDirection w:val="lrTb"/>
            <w:noWrap w:val="false"/>
          </w:tcPr>
          <w:p>
            <w:pPr>
              <w:pStyle w:val="1087"/>
              <w:ind w:firstLine="0"/>
              <w:jc w:val="both"/>
              <w:spacing w:line="240" w:lineRule="auto"/>
              <w:rPr>
                <w:rFonts w:ascii="Times New Roman" w:hAnsi="Times New Roman" w:eastAsia="方正仿宋_GBK"/>
                <w:b/>
              </w:rPr>
            </w:pPr>
            <w:r>
              <w:rPr>
                <w:rFonts w:ascii="Times New Roman" w:hAnsi="Times New Roman" w:eastAsia="仿宋"/>
                <w:color w:val="000000"/>
                <w:sz w:val="20"/>
                <w:szCs w:val="21"/>
              </w:rPr>
              <w:t xml:space="preserve">针对采购需求的第二项技术要求，由评标委员会对投标人所提供的项目技术方案进行评审。包括对系统架构设计、产品功能</w:t>
            </w:r>
            <w:r>
              <w:rPr>
                <w:rFonts w:hint="eastAsia" w:ascii="Times New Roman" w:hAnsi="Times New Roman" w:eastAsia="仿宋"/>
                <w:color w:val="000000"/>
                <w:sz w:val="20"/>
                <w:szCs w:val="21"/>
              </w:rPr>
              <w:t xml:space="preserve">描述</w:t>
            </w:r>
            <w:r>
              <w:rPr>
                <w:rFonts w:ascii="Times New Roman" w:hAnsi="Times New Roman" w:eastAsia="仿宋"/>
                <w:color w:val="000000"/>
                <w:sz w:val="20"/>
                <w:szCs w:val="21"/>
              </w:rPr>
              <w:t xml:space="preserve">、</w:t>
            </w:r>
            <w:r>
              <w:rPr>
                <w:rFonts w:hint="eastAsia" w:ascii="Times New Roman" w:hAnsi="Times New Roman" w:eastAsia="仿宋"/>
                <w:color w:val="000000"/>
                <w:sz w:val="20"/>
                <w:szCs w:val="21"/>
              </w:rPr>
              <w:t xml:space="preserve">系统间整合</w:t>
            </w:r>
            <w:r>
              <w:rPr>
                <w:rFonts w:ascii="Times New Roman" w:hAnsi="Times New Roman" w:eastAsia="仿宋"/>
                <w:color w:val="000000"/>
                <w:sz w:val="20"/>
                <w:szCs w:val="21"/>
              </w:rPr>
              <w:t xml:space="preserve">对接、</w:t>
            </w:r>
            <w:r>
              <w:rPr>
                <w:rFonts w:hint="eastAsia" w:ascii="Times New Roman" w:hAnsi="Times New Roman" w:eastAsia="仿宋"/>
                <w:color w:val="000000"/>
                <w:sz w:val="20"/>
                <w:szCs w:val="21"/>
              </w:rPr>
              <w:t xml:space="preserve">系统改造适配、</w:t>
            </w:r>
            <w:r>
              <w:rPr>
                <w:rFonts w:ascii="Times New Roman" w:hAnsi="Times New Roman" w:eastAsia="仿宋"/>
                <w:color w:val="000000"/>
                <w:sz w:val="20"/>
                <w:szCs w:val="21"/>
              </w:rPr>
              <w:t xml:space="preserve">系统部署环境、安全保障措施等多方面的描述进行综合打分</w:t>
            </w:r>
            <w:r>
              <w:rPr>
                <w:rFonts w:ascii="Times New Roman" w:hAnsi="Times New Roman" w:eastAsia="仿宋"/>
                <w:color w:val="000000"/>
                <w:sz w:val="20"/>
                <w:szCs w:val="21"/>
              </w:rPr>
              <w:t xml:space="preserve">。系统架构设计清晰、产品功能详实、和第三方接口对接可行、系统部署环境符合要求、安全保障措施全面的得</w:t>
            </w:r>
            <w:r>
              <w:rPr>
                <w:rFonts w:hint="eastAsia" w:ascii="Times New Roman" w:hAnsi="Times New Roman" w:eastAsia="仿宋"/>
                <w:color w:val="000000"/>
                <w:sz w:val="20"/>
                <w:szCs w:val="21"/>
              </w:rPr>
              <w:t xml:space="preserve">1</w:t>
            </w:r>
            <w:r>
              <w:rPr>
                <w:rFonts w:ascii="Times New Roman" w:hAnsi="Times New Roman" w:eastAsia="仿宋"/>
                <w:color w:val="000000"/>
                <w:sz w:val="20"/>
                <w:szCs w:val="21"/>
              </w:rPr>
              <w:t xml:space="preserve">0分，系统架构设计一般、产品功</w:t>
            </w:r>
            <w:r>
              <w:rPr>
                <w:rFonts w:hint="eastAsia" w:ascii="Times New Roman" w:hAnsi="Times New Roman" w:eastAsia="仿宋"/>
                <w:color w:val="000000"/>
                <w:sz w:val="20"/>
                <w:szCs w:val="21"/>
              </w:rPr>
              <w:t xml:space="preserve">能描述笼统</w:t>
            </w:r>
            <w:r>
              <w:rPr>
                <w:rFonts w:ascii="Times New Roman" w:hAnsi="Times New Roman" w:eastAsia="仿宋"/>
                <w:color w:val="000000"/>
                <w:sz w:val="20"/>
                <w:szCs w:val="21"/>
              </w:rPr>
              <w:t xml:space="preserve">、和第三方接口表述</w:t>
            </w:r>
            <w:r>
              <w:rPr>
                <w:rFonts w:hint="eastAsia" w:ascii="Times New Roman" w:hAnsi="Times New Roman" w:eastAsia="仿宋"/>
                <w:color w:val="000000"/>
                <w:sz w:val="20"/>
                <w:szCs w:val="21"/>
              </w:rPr>
              <w:t xml:space="preserve">简单</w:t>
            </w:r>
            <w:r>
              <w:rPr>
                <w:rFonts w:ascii="Times New Roman" w:hAnsi="Times New Roman" w:eastAsia="仿宋"/>
                <w:color w:val="000000"/>
                <w:sz w:val="20"/>
                <w:szCs w:val="21"/>
              </w:rPr>
              <w:t xml:space="preserve">，系统部署环境有表述内容、安全保障措施简略的得</w:t>
            </w:r>
            <w:r>
              <w:rPr>
                <w:rFonts w:hint="eastAsia" w:ascii="Times New Roman" w:hAnsi="Times New Roman" w:eastAsia="仿宋"/>
                <w:color w:val="000000"/>
                <w:sz w:val="20"/>
                <w:szCs w:val="21"/>
              </w:rPr>
              <w:t xml:space="preserve">5</w:t>
            </w:r>
            <w:r>
              <w:rPr>
                <w:rFonts w:ascii="Times New Roman" w:hAnsi="Times New Roman" w:eastAsia="仿宋"/>
                <w:color w:val="000000"/>
                <w:sz w:val="20"/>
                <w:szCs w:val="21"/>
              </w:rPr>
              <w:t xml:space="preserve">分，上述评审点未完整体现，或</w:t>
            </w:r>
            <w:r>
              <w:rPr>
                <w:rFonts w:ascii="Times New Roman" w:hAnsi="Times New Roman" w:eastAsia="仿宋"/>
                <w:color w:val="000000"/>
                <w:sz w:val="20"/>
                <w:szCs w:val="21"/>
              </w:rPr>
              <w:t xml:space="preserve">虽完整体现但内容十分简略，部分符合采购人项目需求的得</w:t>
            </w:r>
            <w:r>
              <w:rPr>
                <w:rFonts w:hint="eastAsia" w:ascii="Times New Roman" w:hAnsi="Times New Roman" w:eastAsia="仿宋"/>
                <w:color w:val="000000"/>
                <w:sz w:val="20"/>
                <w:szCs w:val="21"/>
              </w:rPr>
              <w:t xml:space="preserve">2</w:t>
            </w:r>
            <w:r>
              <w:rPr>
                <w:rFonts w:ascii="Times New Roman" w:hAnsi="Times New Roman" w:eastAsia="仿宋"/>
                <w:color w:val="000000"/>
                <w:sz w:val="20"/>
                <w:szCs w:val="21"/>
              </w:rPr>
              <w:t xml:space="preserve">分，不提供不得分。须提供项目技术方案材料，并加盖公章。</w:t>
            </w:r>
            <w:r>
              <w:rPr>
                <w:rFonts w:ascii="Times New Roman" w:hAnsi="Times New Roman" w:eastAsia="方正仿宋_GBK"/>
                <w:b/>
              </w:rPr>
            </w:r>
            <w:r/>
          </w:p>
        </w:tc>
        <w:tc>
          <w:tcPr>
            <w:tcW w:w="1020"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hint="eastAsia" w:ascii="Times New Roman" w:hAnsi="Times New Roman" w:eastAsia="方正仿宋_GBK"/>
                <w:b/>
                <w:sz w:val="20"/>
                <w:szCs w:val="20"/>
              </w:rPr>
              <w:t xml:space="preserve">1</w:t>
            </w:r>
            <w:r>
              <w:rPr>
                <w:rFonts w:ascii="Times New Roman" w:hAnsi="Times New Roman" w:eastAsia="方正仿宋_GBK"/>
                <w:b/>
                <w:sz w:val="20"/>
                <w:szCs w:val="20"/>
              </w:rPr>
              <w:t xml:space="preserve">0</w:t>
            </w:r>
            <w:r>
              <w:rPr>
                <w:rFonts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hint="eastAsia" w:ascii="Times New Roman" w:hAnsi="Times New Roman" w:eastAsia="仿宋"/>
                <w:b/>
                <w:sz w:val="20"/>
                <w:szCs w:val="20"/>
              </w:rPr>
              <w:t xml:space="preserve">0</w:t>
            </w:r>
            <w:r>
              <w:rPr>
                <w:rFonts w:ascii="Times New Roman" w:hAnsi="Times New Roman" w:eastAsia="方正仿宋_GBK"/>
                <w:b/>
                <w:sz w:val="20"/>
                <w:szCs w:val="20"/>
              </w:rPr>
            </w:r>
            <w:r/>
          </w:p>
        </w:tc>
        <w:tc>
          <w:tcPr>
            <w:tcW w:w="1321"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hint="eastAsia" w:ascii="Times New Roman" w:hAnsi="Times New Roman" w:eastAsia="仿宋"/>
                <w:b/>
                <w:sz w:val="20"/>
                <w:szCs w:val="20"/>
              </w:rPr>
              <w:t xml:space="preserve">主观分</w:t>
            </w:r>
            <w:r>
              <w:rPr>
                <w:rFonts w:ascii="Times New Roman" w:hAnsi="Times New Roman" w:eastAsia="方正仿宋_GBK"/>
                <w:b/>
                <w:sz w:val="20"/>
                <w:szCs w:val="20"/>
              </w:rPr>
            </w:r>
            <w:r/>
          </w:p>
        </w:tc>
      </w:tr>
      <w:tr>
        <w:trPr/>
        <w:tc>
          <w:tcPr>
            <w:tcW w:w="766" w:type="dxa"/>
            <w:vAlign w:val="center"/>
            <w:textDirection w:val="lrTb"/>
            <w:noWrap w:val="false"/>
          </w:tcPr>
          <w:p>
            <w:pPr>
              <w:pStyle w:val="1087"/>
              <w:ind w:firstLine="0"/>
              <w:jc w:val="center"/>
              <w:spacing w:line="0" w:lineRule="atLeast"/>
              <w:rPr>
                <w:rFonts w:hint="eastAsia" w:ascii="Times New Roman" w:hAnsi="Times New Roman" w:eastAsia="方正仿宋_GBK"/>
                <w:bCs/>
                <w:sz w:val="20"/>
                <w:szCs w:val="20"/>
              </w:rPr>
            </w:pPr>
            <w:r>
              <w:rPr>
                <w:rFonts w:hint="eastAsia" w:ascii="Times New Roman" w:hAnsi="Times New Roman" w:eastAsia="方正仿宋_GBK"/>
                <w:bCs/>
                <w:sz w:val="20"/>
                <w:szCs w:val="20"/>
              </w:rPr>
              <w:t xml:space="preserve">5</w:t>
            </w:r>
            <w:r>
              <w:rPr>
                <w:rFonts w:hint="eastAsia"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hint="eastAsia" w:ascii="Times New Roman" w:hAnsi="Times New Roman" w:eastAsia="仿宋"/>
                <w:bCs/>
                <w:sz w:val="20"/>
                <w:szCs w:val="20"/>
              </w:rPr>
            </w:pPr>
            <w:r>
              <w:rPr>
                <w:rFonts w:hint="eastAsia" w:ascii="Times New Roman" w:hAnsi="Times New Roman" w:eastAsia="仿宋"/>
                <w:bCs/>
                <w:sz w:val="20"/>
                <w:szCs w:val="20"/>
              </w:rPr>
              <w:t xml:space="preserve">项目管理及实施方案</w:t>
            </w:r>
            <w:r>
              <w:rPr>
                <w:rFonts w:hint="eastAsia" w:ascii="Times New Roman" w:hAnsi="Times New Roman" w:eastAsia="仿宋"/>
                <w:bCs/>
                <w:sz w:val="20"/>
                <w:szCs w:val="20"/>
              </w:rPr>
            </w:r>
            <w:r/>
          </w:p>
        </w:tc>
        <w:tc>
          <w:tcPr>
            <w:tcW w:w="3525" w:type="dxa"/>
            <w:vAlign w:val="top"/>
            <w:textDirection w:val="lrTb"/>
            <w:noWrap w:val="false"/>
          </w:tcPr>
          <w:p>
            <w:pPr>
              <w:pStyle w:val="1087"/>
              <w:ind w:firstLine="0"/>
              <w:jc w:val="both"/>
              <w:spacing w:line="240" w:lineRule="auto"/>
              <w:rPr>
                <w:rFonts w:ascii="Times New Roman" w:hAnsi="Times New Roman" w:eastAsia="仿宋"/>
                <w:color w:val="000000"/>
                <w:sz w:val="20"/>
                <w:szCs w:val="21"/>
              </w:rPr>
            </w:pPr>
            <w:r>
              <w:rPr>
                <w:rFonts w:ascii="Times New Roman" w:hAnsi="Times New Roman" w:eastAsia="仿宋"/>
                <w:color w:val="000000"/>
                <w:sz w:val="20"/>
                <w:szCs w:val="21"/>
              </w:rPr>
              <w:t xml:space="preserve">针对采购需求的第二项技术要求，由评标委员会对投标人所提供的项目管理及实施方案进行评审。从项目风险评估及管控、实施计划、实施周期、施工进度、实施团</w:t>
            </w:r>
            <w:r>
              <w:rPr>
                <w:rFonts w:ascii="Times New Roman" w:hAnsi="Times New Roman" w:eastAsia="仿宋"/>
                <w:color w:val="000000"/>
                <w:sz w:val="20"/>
                <w:szCs w:val="21"/>
              </w:rPr>
              <w:t xml:space="preserve">队等多方面的描述进行综合打分。风险评估及管控措施具体、实施计划周密、实施周期明确、施工进度设置合理、实施团队资质、数量等符合采购人采购需求的得</w:t>
            </w:r>
            <w:r>
              <w:rPr>
                <w:rFonts w:hint="eastAsia" w:ascii="Times New Roman" w:hAnsi="Times New Roman" w:eastAsia="仿宋"/>
                <w:color w:val="000000"/>
                <w:sz w:val="20"/>
                <w:szCs w:val="21"/>
              </w:rPr>
              <w:t xml:space="preserve">1</w:t>
            </w:r>
            <w:r>
              <w:rPr>
                <w:rFonts w:ascii="Times New Roman" w:hAnsi="Times New Roman" w:eastAsia="仿宋"/>
                <w:color w:val="000000"/>
                <w:sz w:val="20"/>
                <w:szCs w:val="21"/>
              </w:rPr>
              <w:t xml:space="preserve">0分，项目风险评估及管控、实施计划、实施周期、施工进度、实施团队内容等简略、理解一般、表述简单的得</w:t>
            </w:r>
            <w:r>
              <w:rPr>
                <w:rFonts w:hint="eastAsia" w:ascii="Times New Roman" w:hAnsi="Times New Roman" w:eastAsia="仿宋"/>
                <w:color w:val="000000"/>
                <w:sz w:val="20"/>
                <w:szCs w:val="21"/>
              </w:rPr>
              <w:t xml:space="preserve">5</w:t>
            </w:r>
            <w:r>
              <w:rPr>
                <w:rFonts w:ascii="Times New Roman" w:hAnsi="Times New Roman" w:eastAsia="仿宋"/>
                <w:color w:val="000000"/>
                <w:sz w:val="20"/>
                <w:szCs w:val="21"/>
              </w:rPr>
              <w:t xml:space="preserve">分，项</w:t>
            </w:r>
            <w:r>
              <w:rPr>
                <w:rFonts w:ascii="Times New Roman" w:hAnsi="Times New Roman" w:eastAsia="仿宋"/>
                <w:color w:val="000000"/>
                <w:sz w:val="20"/>
                <w:szCs w:val="21"/>
              </w:rPr>
              <w:t xml:space="preserve">目风险评估及管控、实施计划、实施周期、施工进度、实施团队等和项目需求不完全对应，部分符合采购人项目需求的得</w:t>
            </w:r>
            <w:r>
              <w:rPr>
                <w:rFonts w:hint="eastAsia" w:ascii="Times New Roman" w:hAnsi="Times New Roman" w:eastAsia="仿宋"/>
                <w:color w:val="000000"/>
                <w:sz w:val="20"/>
                <w:szCs w:val="21"/>
              </w:rPr>
              <w:t xml:space="preserve">2</w:t>
            </w:r>
            <w:r>
              <w:rPr>
                <w:rFonts w:ascii="Times New Roman" w:hAnsi="Times New Roman" w:eastAsia="仿宋"/>
                <w:color w:val="000000"/>
                <w:sz w:val="20"/>
                <w:szCs w:val="21"/>
              </w:rPr>
              <w:t xml:space="preserve">分，不提供不得分。须提供项目管理及实施方案相关材料，并加盖公章。</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方正仿宋_GBK"/>
                <w:b/>
                <w:sz w:val="20"/>
                <w:szCs w:val="20"/>
              </w:rPr>
            </w:pPr>
            <w:r>
              <w:rPr>
                <w:rFonts w:hint="eastAsia" w:ascii="Times New Roman" w:hAnsi="Times New Roman" w:eastAsia="方正仿宋_GBK"/>
                <w:b/>
                <w:sz w:val="20"/>
                <w:szCs w:val="20"/>
              </w:rPr>
              <w:t xml:space="preserve">1</w:t>
            </w:r>
            <w:r>
              <w:rPr>
                <w:rFonts w:ascii="Times New Roman" w:hAnsi="Times New Roman" w:eastAsia="方正仿宋_GBK"/>
                <w:b/>
                <w:sz w:val="20"/>
                <w:szCs w:val="20"/>
              </w:rPr>
              <w:t xml:space="preserve">0</w:t>
            </w:r>
            <w:r>
              <w:rPr>
                <w:rFonts w:hint="eastAsia"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主观分</w:t>
            </w:r>
            <w:r>
              <w:rPr>
                <w:rFonts w:hint="eastAsia"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hint="eastAsia" w:ascii="Times New Roman" w:hAnsi="Times New Roman" w:eastAsia="方正仿宋_GBK"/>
                <w:bCs/>
                <w:sz w:val="20"/>
                <w:szCs w:val="20"/>
              </w:rPr>
            </w:pPr>
            <w:r>
              <w:rPr>
                <w:rFonts w:hint="eastAsia" w:ascii="Times New Roman" w:hAnsi="Times New Roman" w:eastAsia="方正仿宋_GBK"/>
                <w:bCs/>
                <w:sz w:val="20"/>
                <w:szCs w:val="20"/>
              </w:rPr>
              <w:t xml:space="preserve">6</w:t>
            </w:r>
            <w:r>
              <w:rPr>
                <w:rFonts w:hint="eastAsia"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仿宋"/>
                <w:bCs/>
                <w:sz w:val="20"/>
                <w:szCs w:val="20"/>
              </w:rPr>
            </w:pPr>
            <w:r>
              <w:rPr>
                <w:rFonts w:ascii="Times New Roman" w:hAnsi="Times New Roman" w:eastAsia="仿宋"/>
                <w:bCs/>
                <w:sz w:val="20"/>
                <w:szCs w:val="20"/>
              </w:rPr>
              <w:t xml:space="preserve">项目培训</w:t>
            </w:r>
            <w:r>
              <w:rPr>
                <w:rFonts w:hint="eastAsia" w:ascii="Times New Roman" w:hAnsi="Times New Roman" w:eastAsia="仿宋"/>
                <w:bCs/>
                <w:sz w:val="20"/>
                <w:szCs w:val="20"/>
              </w:rPr>
              <w:t xml:space="preserve">方案</w:t>
            </w:r>
            <w:r>
              <w:rPr>
                <w:rFonts w:ascii="Times New Roman" w:hAnsi="Times New Roman" w:eastAsia="仿宋"/>
                <w:bCs/>
                <w:sz w:val="20"/>
                <w:szCs w:val="20"/>
              </w:rPr>
            </w:r>
            <w:r/>
          </w:p>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r>
            <w:r/>
          </w:p>
        </w:tc>
        <w:tc>
          <w:tcPr>
            <w:tcW w:w="3525" w:type="dxa"/>
            <w:vAlign w:val="top"/>
            <w:textDirection w:val="lrTb"/>
            <w:noWrap w:val="false"/>
          </w:tcPr>
          <w:p>
            <w:pPr>
              <w:pStyle w:val="1087"/>
              <w:ind w:firstLine="0"/>
              <w:jc w:val="both"/>
              <w:spacing w:line="240" w:lineRule="auto"/>
              <w:rPr>
                <w:rFonts w:ascii="Times New Roman" w:hAnsi="Times New Roman" w:eastAsia="仿宋"/>
                <w:color w:val="000000"/>
                <w:sz w:val="20"/>
                <w:szCs w:val="21"/>
              </w:rPr>
            </w:pPr>
            <w:r>
              <w:rPr>
                <w:rFonts w:ascii="Times New Roman" w:hAnsi="Times New Roman" w:eastAsia="仿宋"/>
                <w:color w:val="000000"/>
                <w:sz w:val="20"/>
                <w:szCs w:val="21"/>
              </w:rPr>
              <w:t xml:space="preserve">针对采购需求的第三项商务要求由评标委员会对投标人所提供的项目培训方案进行评审。</w:t>
            </w:r>
            <w:r>
              <w:rPr>
                <w:rFonts w:ascii="Times New Roman" w:hAnsi="Times New Roman" w:eastAsia="仿宋"/>
                <w:color w:val="000000"/>
                <w:sz w:val="20"/>
                <w:szCs w:val="21"/>
              </w:rPr>
              <w:t xml:space="preserve">从培训计划、培训内容、培训方式等方面评分，培训计划表述细致、培训内容详实、培训方式符合要求的得5分，培训计划表述简单、培训内容简略、培训方式</w:t>
            </w:r>
            <w:r>
              <w:rPr>
                <w:rFonts w:hint="eastAsia" w:ascii="Times New Roman" w:hAnsi="Times New Roman" w:eastAsia="仿宋"/>
                <w:color w:val="000000"/>
                <w:sz w:val="20"/>
                <w:szCs w:val="21"/>
              </w:rPr>
              <w:t xml:space="preserve">可行</w:t>
            </w:r>
            <w:r>
              <w:rPr>
                <w:rFonts w:ascii="Times New Roman" w:hAnsi="Times New Roman" w:eastAsia="仿宋"/>
                <w:color w:val="000000"/>
                <w:sz w:val="20"/>
                <w:szCs w:val="21"/>
              </w:rPr>
              <w:t xml:space="preserve">的得2分，内</w:t>
            </w:r>
            <w:r>
              <w:rPr>
                <w:rFonts w:ascii="Times New Roman" w:hAnsi="Times New Roman" w:eastAsia="仿宋"/>
                <w:color w:val="000000"/>
                <w:sz w:val="20"/>
                <w:szCs w:val="21"/>
              </w:rPr>
              <w:t xml:space="preserve">容和项目需求不完全对应，部分评审点符合采购人项目需求的得1分，不提供不得分。须提供项目培训方案相关材料，并加盖公章。</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方正仿宋_GBK"/>
                <w:b/>
                <w:sz w:val="20"/>
                <w:szCs w:val="20"/>
                <w:lang w:eastAsia="zh-CN"/>
              </w:rPr>
            </w:pPr>
            <w:r>
              <w:rPr>
                <w:rFonts w:hint="eastAsia" w:ascii="Times New Roman" w:hAnsi="Times New Roman" w:eastAsia="方正仿宋_GBK"/>
                <w:b/>
                <w:sz w:val="20"/>
                <w:szCs w:val="20"/>
                <w:lang w:val="en-US" w:eastAsia="zh-CN"/>
              </w:rPr>
              <w:t xml:space="preserve">5</w:t>
            </w:r>
            <w:r>
              <w:rPr>
                <w:rFonts w:hint="eastAsia" w:ascii="Times New Roman" w:hAnsi="Times New Roman" w:eastAsia="方正仿宋_GBK"/>
                <w:b/>
                <w:sz w:val="20"/>
                <w:szCs w:val="20"/>
                <w:lang w:eastAsia="zh-CN"/>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主观分</w:t>
            </w:r>
            <w:r>
              <w:rPr>
                <w:rFonts w:hint="eastAsia"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hint="eastAsia" w:ascii="Times New Roman" w:hAnsi="Times New Roman" w:eastAsia="方正仿宋_GBK"/>
                <w:bCs/>
                <w:sz w:val="20"/>
                <w:szCs w:val="20"/>
              </w:rPr>
            </w:pPr>
            <w:r>
              <w:rPr>
                <w:rFonts w:hint="eastAsia" w:ascii="Times New Roman" w:hAnsi="Times New Roman" w:eastAsia="方正仿宋_GBK"/>
                <w:bCs/>
                <w:sz w:val="20"/>
                <w:szCs w:val="20"/>
              </w:rPr>
              <w:t xml:space="preserve">7</w:t>
            </w:r>
            <w:r>
              <w:rPr>
                <w:rFonts w:hint="eastAsia"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ascii="Times New Roman" w:hAnsi="Times New Roman" w:eastAsia="仿宋"/>
                <w:bCs/>
                <w:sz w:val="20"/>
                <w:szCs w:val="20"/>
              </w:rPr>
            </w:pPr>
            <w:r>
              <w:rPr>
                <w:rFonts w:hint="eastAsia" w:ascii="Times New Roman" w:hAnsi="Times New Roman" w:eastAsia="仿宋"/>
                <w:bCs/>
                <w:sz w:val="20"/>
                <w:szCs w:val="20"/>
              </w:rPr>
              <w:t xml:space="preserve">项目</w:t>
            </w:r>
            <w:r>
              <w:rPr>
                <w:rFonts w:ascii="Times New Roman" w:hAnsi="Times New Roman" w:eastAsia="仿宋"/>
                <w:bCs/>
                <w:sz w:val="20"/>
                <w:szCs w:val="20"/>
              </w:rPr>
              <w:t xml:space="preserve">售后服务方案</w:t>
            </w:r>
            <w:r>
              <w:rPr>
                <w:rFonts w:ascii="Times New Roman" w:hAnsi="Times New Roman" w:eastAsia="仿宋"/>
                <w:bCs/>
                <w:sz w:val="20"/>
                <w:szCs w:val="20"/>
              </w:rPr>
            </w:r>
            <w:r/>
          </w:p>
          <w:p>
            <w:pPr>
              <w:pStyle w:val="1087"/>
              <w:ind w:firstLine="0"/>
              <w:spacing w:line="0" w:lineRule="atLeast"/>
              <w:rPr>
                <w:rFonts w:ascii="Times New Roman" w:hAnsi="Times New Roman" w:eastAsia="仿宋"/>
                <w:bCs/>
                <w:sz w:val="20"/>
                <w:szCs w:val="20"/>
              </w:rPr>
            </w:pPr>
            <w:r>
              <w:rPr>
                <w:rFonts w:eastAsia="等线"/>
                <w:color w:val="000000"/>
                <w:sz w:val="20"/>
                <w:szCs w:val="20"/>
                <w:lang w:bidi="ar"/>
              </w:rPr>
              <w:br w:type="textWrapping" w:clear="all"/>
            </w:r>
            <w:r>
              <w:rPr>
                <w:rFonts w:ascii="Times New Roman" w:hAnsi="Times New Roman" w:eastAsia="仿宋"/>
                <w:bCs/>
                <w:sz w:val="20"/>
                <w:szCs w:val="20"/>
              </w:rPr>
            </w:r>
            <w:r/>
          </w:p>
        </w:tc>
        <w:tc>
          <w:tcPr>
            <w:tcW w:w="3525" w:type="dxa"/>
            <w:vAlign w:val="top"/>
            <w:textDirection w:val="lrTb"/>
            <w:noWrap w:val="false"/>
          </w:tcPr>
          <w:p>
            <w:pPr>
              <w:pStyle w:val="1087"/>
              <w:ind w:firstLine="0"/>
              <w:jc w:val="both"/>
              <w:spacing w:line="240" w:lineRule="auto"/>
              <w:rPr>
                <w:rFonts w:ascii="Times New Roman" w:hAnsi="Times New Roman" w:eastAsia="仿宋"/>
                <w:color w:val="000000"/>
                <w:sz w:val="20"/>
                <w:szCs w:val="21"/>
              </w:rPr>
            </w:pPr>
            <w:r>
              <w:rPr>
                <w:rFonts w:ascii="Times New Roman" w:hAnsi="Times New Roman" w:eastAsia="仿宋"/>
                <w:color w:val="000000"/>
                <w:sz w:val="20"/>
                <w:szCs w:val="21"/>
              </w:rPr>
              <w:t xml:space="preserve">针对采购需求的第三项商务要求，由评标委员会对投标人或软件厂家所提供的项目售后服务方案进</w:t>
            </w:r>
            <w:r>
              <w:rPr>
                <w:rFonts w:ascii="Times New Roman" w:hAnsi="Times New Roman" w:eastAsia="仿宋"/>
                <w:color w:val="000000"/>
                <w:sz w:val="20"/>
                <w:szCs w:val="21"/>
              </w:rPr>
              <w:t xml:space="preserve">行评审</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t xml:space="preserve">服务标准、服务响应时间、售后技术团队、售后线上或线下服务方式等，</w:t>
            </w:r>
            <w:r>
              <w:rPr>
                <w:rFonts w:hint="eastAsia" w:ascii="Times New Roman" w:hAnsi="Times New Roman" w:eastAsia="仿宋"/>
                <w:color w:val="000000"/>
                <w:sz w:val="20"/>
                <w:szCs w:val="21"/>
              </w:rPr>
              <w:t xml:space="preserve">内容详实、阐述充分，操作性强</w:t>
            </w:r>
            <w:r>
              <w:rPr>
                <w:rFonts w:ascii="Times New Roman" w:hAnsi="Times New Roman" w:eastAsia="仿宋"/>
                <w:color w:val="000000"/>
                <w:sz w:val="20"/>
                <w:szCs w:val="21"/>
              </w:rPr>
              <w:t xml:space="preserve">的得5分，</w:t>
            </w:r>
            <w:r>
              <w:rPr>
                <w:rFonts w:ascii="Times New Roman" w:hAnsi="Times New Roman" w:eastAsia="仿宋"/>
                <w:color w:val="000000"/>
                <w:sz w:val="20"/>
                <w:szCs w:val="21"/>
              </w:rPr>
              <w:t xml:space="preserve">内容简略、理解一般、表述简单的得2分，部分符合采购人项目需求的得1分，不提供不得分。须提供售后服务方案相关材料，并加盖公章。</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方正仿宋_GBK"/>
                <w:b/>
                <w:sz w:val="20"/>
                <w:szCs w:val="20"/>
              </w:rPr>
            </w:pPr>
            <w:r>
              <w:rPr>
                <w:rFonts w:ascii="Times New Roman" w:hAnsi="Times New Roman" w:eastAsia="方正仿宋_GBK"/>
                <w:b/>
                <w:sz w:val="20"/>
                <w:szCs w:val="20"/>
              </w:rPr>
              <w:t xml:space="preserve">5</w:t>
            </w:r>
            <w:r>
              <w:rPr>
                <w:rFonts w:hint="eastAsia"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主观分</w:t>
            </w:r>
            <w:r>
              <w:rPr>
                <w:rFonts w:hint="eastAsia"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hint="eastAsia" w:ascii="Times New Roman" w:hAnsi="Times New Roman" w:eastAsia="方正仿宋_GBK"/>
                <w:bCs/>
                <w:sz w:val="20"/>
                <w:szCs w:val="20"/>
              </w:rPr>
            </w:pPr>
            <w:r>
              <w:rPr>
                <w:rFonts w:hint="eastAsia" w:ascii="Times New Roman" w:hAnsi="Times New Roman" w:eastAsia="方正仿宋_GBK"/>
                <w:bCs/>
                <w:sz w:val="20"/>
                <w:szCs w:val="20"/>
              </w:rPr>
              <w:t xml:space="preserve">8</w:t>
            </w:r>
            <w:r>
              <w:rPr>
                <w:rFonts w:hint="eastAsia" w:ascii="Times New Roman" w:hAnsi="Times New Roman" w:eastAsia="方正仿宋_GBK"/>
                <w:bCs/>
                <w:sz w:val="20"/>
                <w:szCs w:val="20"/>
              </w:rPr>
            </w:r>
            <w:r/>
          </w:p>
        </w:tc>
        <w:tc>
          <w:tcPr>
            <w:tcW w:w="1425" w:type="dxa"/>
            <w:vAlign w:val="center"/>
            <w:textDirection w:val="lrTb"/>
            <w:noWrap w:val="false"/>
          </w:tcPr>
          <w:p>
            <w:pPr>
              <w:pStyle w:val="1087"/>
              <w:ind w:firstLine="0"/>
              <w:spacing w:line="0" w:lineRule="atLeast"/>
              <w:rPr>
                <w:rFonts w:hint="eastAsia" w:ascii="Times New Roman" w:hAnsi="Times New Roman" w:eastAsia="仿宋"/>
                <w:bCs/>
                <w:sz w:val="20"/>
                <w:szCs w:val="20"/>
              </w:rPr>
            </w:pPr>
            <w:r>
              <w:rPr>
                <w:rFonts w:hint="eastAsia" w:ascii="Times New Roman" w:hAnsi="Times New Roman" w:eastAsia="仿宋"/>
                <w:bCs/>
                <w:sz w:val="20"/>
                <w:szCs w:val="20"/>
              </w:rPr>
              <w:t xml:space="preserve">项目技术团队</w:t>
            </w:r>
            <w:r>
              <w:rPr>
                <w:rFonts w:hint="eastAsia" w:ascii="Times New Roman" w:hAnsi="Times New Roman" w:eastAsia="仿宋"/>
                <w:bCs/>
                <w:sz w:val="20"/>
                <w:szCs w:val="20"/>
              </w:rPr>
            </w:r>
            <w:r/>
          </w:p>
        </w:tc>
        <w:tc>
          <w:tcPr>
            <w:tcW w:w="3525" w:type="dxa"/>
            <w:vAlign w:val="center"/>
            <w:textDirection w:val="lrTb"/>
            <w:noWrap w:val="false"/>
          </w:tcPr>
          <w:p>
            <w:pPr>
              <w:pStyle w:val="1087"/>
              <w:ind w:firstLine="0"/>
              <w:jc w:val="both"/>
              <w:spacing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投标人拟派的项目经理（仅限一人）具有</w:t>
            </w:r>
            <w:r>
              <w:rPr>
                <w:rFonts w:ascii="Times New Roman" w:hAnsi="Times New Roman" w:eastAsia="仿宋"/>
                <w:color w:val="000000"/>
                <w:sz w:val="20"/>
                <w:szCs w:val="21"/>
              </w:rPr>
              <w:t xml:space="preserve">中国人力资源和社会保障部、工业和信息化部联合</w:t>
            </w:r>
            <w:r>
              <w:rPr>
                <w:rFonts w:hint="eastAsia" w:ascii="Times New Roman" w:hAnsi="Times New Roman" w:eastAsia="仿宋"/>
                <w:color w:val="000000"/>
                <w:sz w:val="20"/>
                <w:szCs w:val="21"/>
              </w:rPr>
              <w:t xml:space="preserve">共同颁发的信息系统项目管理师证书（高级）、软件开发工程师证书（高级）、数据库管理工程师。每有一个得</w:t>
            </w:r>
            <w:r>
              <w:rPr>
                <w:rFonts w:ascii="Times New Roman" w:hAnsi="Times New Roman" w:eastAsia="仿宋"/>
                <w:color w:val="000000"/>
                <w:sz w:val="20"/>
                <w:szCs w:val="21"/>
              </w:rPr>
              <w:t xml:space="preserve">1</w:t>
            </w:r>
            <w:r>
              <w:rPr>
                <w:rFonts w:hint="eastAsia" w:ascii="Times New Roman" w:hAnsi="Times New Roman" w:eastAsia="仿宋"/>
                <w:color w:val="000000"/>
                <w:sz w:val="20"/>
                <w:szCs w:val="21"/>
              </w:rPr>
              <w:t xml:space="preserve">分，最高得3分。投标人或软件厂商拟派的项目成员中具有</w:t>
            </w:r>
            <w:r>
              <w:rPr>
                <w:rFonts w:ascii="Times New Roman" w:hAnsi="Times New Roman" w:eastAsia="仿宋"/>
                <w:color w:val="000000"/>
                <w:sz w:val="20"/>
                <w:szCs w:val="21"/>
              </w:rPr>
              <w:t xml:space="preserve">中国人力资源和社会保障部、工业和信息化部</w:t>
            </w:r>
            <w:r>
              <w:rPr>
                <w:rFonts w:hint="eastAsia" w:ascii="Times New Roman" w:hAnsi="Times New Roman" w:eastAsia="仿宋"/>
                <w:color w:val="000000"/>
                <w:sz w:val="20"/>
                <w:szCs w:val="21"/>
              </w:rPr>
              <w:t xml:space="preserve">颁发的系统集成项目管理工程师、系统架构设计师、软件测评师证书以及由中国信息安全测评中心颁发的注册信息安全工程师（CISE）证书，上述证书类别中每具有一个类别得1分，最高得4分。（项目成员一人具备多个证书的，仅取一个类别的证书计算。）</w:t>
            </w:r>
            <w:r>
              <w:rPr>
                <w:rFonts w:hint="eastAsia" w:ascii="Times New Roman" w:hAnsi="Times New Roman" w:eastAsia="仿宋"/>
                <w:color w:val="000000"/>
                <w:sz w:val="20"/>
                <w:szCs w:val="21"/>
              </w:rPr>
            </w:r>
            <w:r/>
          </w:p>
          <w:p>
            <w:pPr>
              <w:pStyle w:val="1087"/>
              <w:ind w:firstLine="0"/>
              <w:jc w:val="both"/>
              <w:spacing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（需提供资格证书复印件、技术团队人员近3个月内任意1个月的所属公司缴纳社保记录，以上均需加盖公章）。</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方正仿宋_GBK"/>
                <w:b/>
                <w:sz w:val="20"/>
                <w:szCs w:val="20"/>
              </w:rPr>
            </w:pPr>
            <w:r>
              <w:rPr>
                <w:rFonts w:ascii="Times New Roman" w:hAnsi="Times New Roman" w:eastAsia="方正仿宋_GBK"/>
                <w:b/>
                <w:sz w:val="20"/>
                <w:szCs w:val="20"/>
              </w:rPr>
              <w:t xml:space="preserve">7</w:t>
            </w:r>
            <w:r>
              <w:rPr>
                <w:rFonts w:hint="eastAsia"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客观分</w:t>
            </w:r>
            <w:r>
              <w:rPr>
                <w:rFonts w:hint="eastAsia" w:ascii="Times New Roman" w:hAnsi="Times New Roman" w:eastAsia="仿宋"/>
                <w:b/>
                <w:sz w:val="20"/>
                <w:szCs w:val="20"/>
              </w:rPr>
            </w:r>
            <w:r/>
          </w:p>
        </w:tc>
      </w:tr>
      <w:tr>
        <w:trPr/>
        <w:tc>
          <w:tcPr>
            <w:tcW w:w="766" w:type="dxa"/>
            <w:vAlign w:val="center"/>
            <w:textDirection w:val="lrTb"/>
            <w:noWrap w:val="false"/>
          </w:tcPr>
          <w:p>
            <w:pPr>
              <w:pStyle w:val="1087"/>
              <w:ind w:firstLine="0"/>
              <w:jc w:val="center"/>
              <w:spacing w:line="0" w:lineRule="atLeast"/>
              <w:rPr>
                <w:rFonts w:hint="eastAsia" w:ascii="Times New Roman" w:hAnsi="Times New Roman" w:eastAsia="方正仿宋_GBK"/>
                <w:bCs/>
                <w:sz w:val="20"/>
                <w:szCs w:val="20"/>
                <w:lang w:val="en-US" w:eastAsia="zh-CN"/>
              </w:rPr>
            </w:pPr>
            <w:r>
              <w:rPr>
                <w:rFonts w:hint="eastAsia" w:ascii="Times New Roman" w:hAnsi="Times New Roman" w:eastAsia="方正仿宋_GBK"/>
                <w:bCs/>
                <w:sz w:val="20"/>
                <w:szCs w:val="20"/>
                <w:lang w:val="en-US" w:eastAsia="zh-CN"/>
              </w:rPr>
              <w:t xml:space="preserve">9</w:t>
            </w:r>
            <w:r>
              <w:rPr>
                <w:rFonts w:hint="eastAsia" w:ascii="Times New Roman" w:hAnsi="Times New Roman" w:eastAsia="方正仿宋_GBK"/>
                <w:bCs/>
                <w:sz w:val="20"/>
                <w:szCs w:val="20"/>
                <w:lang w:val="en-US" w:eastAsia="zh-CN"/>
              </w:rPr>
            </w:r>
            <w:r/>
          </w:p>
        </w:tc>
        <w:tc>
          <w:tcPr>
            <w:tcW w:w="1425" w:type="dxa"/>
            <w:vAlign w:val="center"/>
            <w:textDirection w:val="lrTb"/>
            <w:noWrap w:val="false"/>
          </w:tcPr>
          <w:p>
            <w:pPr>
              <w:pStyle w:val="1087"/>
              <w:ind w:firstLine="0"/>
              <w:spacing w:line="0" w:lineRule="atLeast"/>
              <w:rPr>
                <w:rFonts w:hint="eastAsia" w:ascii="Times New Roman" w:hAnsi="Times New Roman" w:eastAsia="仿宋"/>
                <w:bCs/>
                <w:sz w:val="20"/>
                <w:szCs w:val="20"/>
              </w:rPr>
            </w:pPr>
            <w:r>
              <w:rPr>
                <w:rFonts w:hint="eastAsia" w:ascii="Times New Roman" w:hAnsi="Times New Roman" w:eastAsia="仿宋"/>
                <w:bCs/>
                <w:sz w:val="20"/>
                <w:szCs w:val="20"/>
              </w:rPr>
              <w:t xml:space="preserve">功能演示</w:t>
            </w:r>
            <w:r>
              <w:rPr>
                <w:rFonts w:hint="eastAsia" w:ascii="Times New Roman" w:hAnsi="Times New Roman" w:eastAsia="仿宋"/>
                <w:bCs/>
                <w:sz w:val="20"/>
                <w:szCs w:val="20"/>
              </w:rPr>
            </w:r>
            <w:r/>
          </w:p>
        </w:tc>
        <w:tc>
          <w:tcPr>
            <w:tcW w:w="3525" w:type="dxa"/>
            <w:vAlign w:val="center"/>
            <w:textDirection w:val="lrTb"/>
            <w:noWrap w:val="false"/>
          </w:tcPr>
          <w:p>
            <w:pPr>
              <w:pStyle w:val="1087"/>
              <w:ind w:firstLine="0"/>
              <w:jc w:val="both"/>
              <w:spacing w:before="0" w:after="0" w:line="240" w:lineRule="auto"/>
              <w:rPr>
                <w:rFonts w:ascii="Times New Roman" w:hAnsi="Times New Roman" w:eastAsia="仿宋"/>
                <w:color w:val="000000"/>
                <w:sz w:val="20"/>
                <w:szCs w:val="21"/>
              </w:rPr>
            </w:pPr>
            <w:r/>
            <w:bookmarkStart w:id="212" w:name="_Hlk212724923"/>
            <w:r>
              <w:rPr>
                <w:rFonts w:hint="eastAsia" w:ascii="Times New Roman" w:hAnsi="Times New Roman" w:eastAsia="仿宋"/>
                <w:color w:val="000000"/>
                <w:sz w:val="20"/>
                <w:szCs w:val="21"/>
              </w:rPr>
              <w:t xml:space="preserve">投标人根据要求针对以下模块功能提供真实系统、原型设计或 DEMO 系统的录屏演示（可配语音讲解）。</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w:t>
            </w:r>
            <w:r>
              <w:rPr>
                <w:rFonts w:hint="eastAsia" w:ascii="Times New Roman" w:hAnsi="Times New Roman" w:eastAsia="仿宋"/>
                <w:color w:val="000000"/>
                <w:sz w:val="20"/>
                <w:szCs w:val="21"/>
                <w:highlight w:val="none"/>
              </w:rPr>
              <w:t xml:space="preserve">超过1</w:t>
            </w:r>
            <w:r>
              <w:rPr>
                <w:rFonts w:ascii="Times New Roman" w:hAnsi="Times New Roman" w:eastAsia="仿宋"/>
                <w:color w:val="000000"/>
                <w:sz w:val="20"/>
                <w:szCs w:val="21"/>
                <w:highlight w:val="none"/>
              </w:rPr>
              <w:t xml:space="preserve">0</w:t>
            </w:r>
            <w:r>
              <w:rPr>
                <w:rFonts w:hint="eastAsia" w:ascii="Times New Roman" w:hAnsi="Times New Roman" w:eastAsia="仿宋"/>
                <w:color w:val="000000"/>
                <w:sz w:val="20"/>
                <w:szCs w:val="21"/>
                <w:highlight w:val="none"/>
              </w:rPr>
              <w:t xml:space="preserve">分钟。</w:t>
            </w:r>
            <w:r>
              <w:rPr>
                <w:rFonts w:hint="eastAsia" w:ascii="Times New Roman" w:hAnsi="Times New Roman" w:eastAsia="仿宋"/>
                <w:b/>
                <w:bCs/>
                <w:color w:val="000000"/>
                <w:sz w:val="20"/>
                <w:szCs w:val="21"/>
              </w:rPr>
              <w:t xml:space="preserve">不能满足要求不得分。</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1）通信总线服务演示</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bookmarkEnd w:id="212"/>
            <w:r>
              <w:rPr>
                <w:rFonts w:hint="eastAsia" w:ascii="Times New Roman" w:hAnsi="Times New Roman" w:eastAsia="仿宋"/>
                <w:color w:val="000000"/>
                <w:sz w:val="20"/>
                <w:szCs w:val="21"/>
              </w:rPr>
              <w:t xml:space="preserve">①</w:t>
            </w:r>
            <w:bookmarkStart w:id="213" w:name="_Hlk212724894"/>
            <w:r>
              <w:rPr>
                <w:rFonts w:hint="eastAsia" w:ascii="Times New Roman" w:hAnsi="Times New Roman" w:eastAsia="仿宋"/>
                <w:color w:val="000000"/>
                <w:sz w:val="20"/>
                <w:szCs w:val="21"/>
              </w:rPr>
              <w:t xml:space="preserve">支持 API 发布功能，可提交服务列表至 API 网关并反馈发布结果，支持 API 编排功能，可通过可视化工具实现多 API 流程化组合与复杂逻辑配置；</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bookmarkEnd w:id="213"/>
            <w:r>
              <w:rPr>
                <w:rFonts w:hint="eastAsia" w:ascii="Times New Roman" w:hAnsi="Times New Roman" w:eastAsia="仿宋"/>
                <w:color w:val="000000"/>
                <w:sz w:val="20"/>
                <w:szCs w:val="21"/>
              </w:rPr>
              <w:t xml:space="preserve">②</w:t>
            </w:r>
            <w:bookmarkStart w:id="214" w:name="_Hlk212724912"/>
            <w:r>
              <w:rPr>
                <w:rFonts w:hint="eastAsia" w:ascii="Times New Roman" w:hAnsi="Times New Roman" w:eastAsia="仿宋"/>
                <w:color w:val="000000"/>
                <w:sz w:val="20"/>
                <w:szCs w:val="21"/>
              </w:rPr>
              <w:t xml:space="preserve">支持 API 订阅申请、 API 订阅审批功能，订阅者可查看待审批/已通过/已拒绝的申请状态并支持主动撤销未生效的订阅；</w:t>
            </w:r>
            <w:bookmarkEnd w:id="214"/>
            <w:r>
              <w:rPr>
                <w:rFonts w:hint="eastAsia" w:ascii="Times New Roman" w:hAnsi="Times New Roman" w:eastAsia="仿宋"/>
                <w:color w:val="000000"/>
                <w:sz w:val="20"/>
                <w:szCs w:val="21"/>
              </w:rPr>
              <w:t xml:space="preserve">以上两点每满足一点得1分，最高得2分。</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bookmarkStart w:id="215" w:name="_Hlk212724947"/>
            <w:r>
              <w:rPr>
                <w:rFonts w:hint="eastAsia" w:ascii="Times New Roman" w:hAnsi="Times New Roman" w:eastAsia="仿宋"/>
                <w:color w:val="000000"/>
                <w:sz w:val="20"/>
                <w:szCs w:val="21"/>
              </w:rPr>
              <w:t xml:space="preserve">2）健康档案调阅演示</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①演示医院端及中心端浏览界面，展示全生命周期内的居民健康情况；</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②需包含基本信息组装、诊疗摘要组装、公卫摘要组装、预防接种组装、健康体检组装及首页整合组装服务，实现居民健康信息的结构化展示与明细数据扩展访问；以上两点每满足一点得1分，最高得2分。</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3）实时数据交换演示</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①采集引擎支持实时采集能力，实时采集方式支持 HTTP、KAFKA、 CDC 采集等方式；</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②处理引擎支持数据转换（支持 JSON、XML、SOAP三种协议的互转），支持数据映射、第三方服务调用、数据拆分、数据过滤、条件判断等功能；</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以上两点每满足一点得1分，最高得2分。</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4）统一登录认证演示</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①支持用户一次注册、多系统免重复登录；</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②单点登录需实现集中式权限控制与身份验证，代理认证需实现全民健康信息平台业务系统用户统一管控与平台帐户映射，由平台权限系统集中管理。</w:t>
            </w:r>
            <w:r>
              <w:rPr>
                <w:rFonts w:ascii="Times New Roman" w:hAnsi="Times New Roman" w:eastAsia="仿宋"/>
                <w:color w:val="000000"/>
                <w:sz w:val="20"/>
                <w:szCs w:val="21"/>
              </w:rPr>
            </w:r>
            <w:r/>
          </w:p>
          <w:p>
            <w:pPr>
              <w:pStyle w:val="1087"/>
              <w:ind w:firstLine="0"/>
              <w:jc w:val="both"/>
              <w:spacing w:before="0" w:after="0"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以上两点每满足一点得1分，最高得2分。</w:t>
            </w:r>
            <w:r>
              <w:rPr>
                <w:rFonts w:hint="eastAsia"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5）“1+</w:t>
            </w:r>
            <w:r>
              <w:rPr>
                <w:rFonts w:ascii="Times New Roman" w:hAnsi="Times New Roman" w:eastAsia="仿宋"/>
                <w:color w:val="000000"/>
                <w:sz w:val="20"/>
                <w:szCs w:val="21"/>
              </w:rPr>
              <w:t xml:space="preserve">6</w:t>
            </w:r>
            <w:r>
              <w:rPr>
                <w:rFonts w:hint="eastAsia" w:ascii="Times New Roman" w:hAnsi="Times New Roman" w:eastAsia="仿宋"/>
                <w:color w:val="000000"/>
                <w:sz w:val="20"/>
                <w:szCs w:val="21"/>
              </w:rPr>
              <w:t xml:space="preserve">”张图大屏演示</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①演示总体概览大屏，需包括全市情况的综合展示，支持地图机构撒点标记与基础信息定位展示，支持通过图表展示指标数据、分类排名、占比及同比环比情况；</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②演示卫生资源、医疗服务、公共卫生、合理用药、妇幼保健大屏展示内容；</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③演示多元化监管大屏，需涵盖整体态势、风险预警、机构运行、监管执法、社会监督、传染病监管看板内容；</w:t>
            </w:r>
            <w:r>
              <w:rPr>
                <w:rFonts w:ascii="Times New Roman" w:hAnsi="Times New Roman" w:eastAsia="仿宋"/>
                <w:color w:val="000000"/>
                <w:sz w:val="20"/>
                <w:szCs w:val="21"/>
              </w:rPr>
            </w:r>
            <w:r/>
          </w:p>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④演示生育登记大屏内容；</w:t>
            </w:r>
            <w:r>
              <w:rPr>
                <w:rFonts w:ascii="Times New Roman" w:hAnsi="Times New Roman" w:eastAsia="仿宋"/>
                <w:color w:val="000000"/>
                <w:sz w:val="20"/>
                <w:szCs w:val="21"/>
              </w:rPr>
            </w:r>
            <w:r/>
          </w:p>
          <w:p>
            <w:pPr>
              <w:pStyle w:val="1087"/>
              <w:ind w:firstLine="0"/>
              <w:jc w:val="both"/>
              <w:spacing w:before="0" w:after="0" w:line="240" w:lineRule="auto"/>
              <w:rPr>
                <w:rFonts w:hint="eastAsia" w:ascii="Times New Roman" w:hAnsi="Times New Roman" w:eastAsia="仿宋"/>
                <w:color w:val="000000"/>
                <w:sz w:val="20"/>
                <w:szCs w:val="21"/>
              </w:rPr>
            </w:pPr>
            <w:r>
              <w:rPr>
                <w:rFonts w:hint="eastAsia" w:ascii="Times New Roman" w:hAnsi="Times New Roman" w:eastAsia="仿宋"/>
                <w:color w:val="000000"/>
                <w:sz w:val="20"/>
                <w:szCs w:val="21"/>
              </w:rPr>
              <w:t xml:space="preserve">以上4点每满足一点得1分，最高得4分。</w:t>
            </w:r>
            <w:bookmarkEnd w:id="215"/>
            <w:r>
              <w:rPr>
                <w:rFonts w:hint="eastAsia"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hint="eastAsia" w:ascii="Times New Roman" w:hAnsi="Times New Roman" w:eastAsia="方正仿宋_GBK"/>
                <w:b/>
                <w:sz w:val="20"/>
                <w:szCs w:val="20"/>
              </w:rPr>
            </w:pPr>
            <w:r>
              <w:rPr>
                <w:rFonts w:hint="eastAsia" w:ascii="Times New Roman" w:hAnsi="Times New Roman" w:eastAsia="方正仿宋_GBK"/>
                <w:b/>
                <w:sz w:val="20"/>
                <w:szCs w:val="20"/>
              </w:rPr>
              <w:t xml:space="preserve">1</w:t>
            </w:r>
            <w:r>
              <w:rPr>
                <w:rFonts w:ascii="Times New Roman" w:hAnsi="Times New Roman" w:eastAsia="方正仿宋_GBK"/>
                <w:b/>
                <w:sz w:val="20"/>
                <w:szCs w:val="20"/>
              </w:rPr>
              <w:t xml:space="preserve">2</w:t>
            </w:r>
            <w:r>
              <w:rPr>
                <w:rFonts w:hint="eastAsia"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0</w:t>
            </w:r>
            <w:r>
              <w:rPr>
                <w:rFonts w:hint="eastAsia" w:ascii="Times New Roman" w:hAnsi="Times New Roman" w:eastAsia="仿宋"/>
                <w:b/>
                <w:sz w:val="20"/>
                <w:szCs w:val="20"/>
              </w:rPr>
            </w:r>
            <w:r/>
          </w:p>
        </w:tc>
        <w:tc>
          <w:tcPr>
            <w:tcW w:w="1321" w:type="dxa"/>
            <w:vAlign w:val="center"/>
            <w:textDirection w:val="lrTb"/>
            <w:noWrap w:val="false"/>
          </w:tcPr>
          <w:p>
            <w:pPr>
              <w:pStyle w:val="1087"/>
              <w:ind w:firstLine="0"/>
              <w:jc w:val="center"/>
              <w:spacing w:line="0" w:lineRule="atLeast"/>
              <w:rPr>
                <w:rFonts w:hint="eastAsia" w:ascii="Times New Roman" w:hAnsi="Times New Roman" w:eastAsia="仿宋"/>
                <w:b/>
                <w:sz w:val="20"/>
                <w:szCs w:val="20"/>
              </w:rPr>
            </w:pPr>
            <w:r>
              <w:rPr>
                <w:rFonts w:hint="eastAsia" w:ascii="Times New Roman" w:hAnsi="Times New Roman" w:eastAsia="仿宋"/>
                <w:b/>
                <w:sz w:val="20"/>
                <w:szCs w:val="20"/>
              </w:rPr>
              <w:t xml:space="preserve">客观分</w:t>
            </w:r>
            <w:r>
              <w:rPr>
                <w:rFonts w:hint="eastAsia" w:ascii="Times New Roman" w:hAnsi="Times New Roman" w:eastAsia="仿宋"/>
                <w:b/>
                <w:sz w:val="20"/>
                <w:szCs w:val="20"/>
              </w:rPr>
            </w:r>
            <w:r/>
          </w:p>
        </w:tc>
      </w:tr>
    </w:tbl>
    <w:p>
      <w:pPr>
        <w:pStyle w:val="10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87"/>
        <w:numPr>
          <w:ilvl w:val="0"/>
          <w:numId w:val="24"/>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12</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序号</w:t>
            </w:r>
            <w:r>
              <w:rPr>
                <w:rFonts w:ascii="Times New Roman" w:hAnsi="Times New Roman" w:eastAsia="方正仿宋_GBK"/>
                <w:b/>
              </w:rPr>
            </w:r>
            <w:r/>
          </w:p>
        </w:tc>
        <w:tc>
          <w:tcPr>
            <w:tcW w:w="1425"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评分点名称</w:t>
            </w:r>
            <w:r>
              <w:rPr>
                <w:rFonts w:ascii="Times New Roman" w:hAnsi="Times New Roman" w:eastAsia="方正仿宋_GBK"/>
                <w:b/>
              </w:rPr>
            </w:r>
            <w:r/>
          </w:p>
        </w:tc>
        <w:tc>
          <w:tcPr>
            <w:tcW w:w="3525" w:type="dxa"/>
            <w:vAlign w:val="top"/>
            <w:textDirection w:val="lrTb"/>
            <w:noWrap w:val="false"/>
          </w:tcPr>
          <w:p>
            <w:pPr>
              <w:pStyle w:val="1087"/>
              <w:ind w:firstLine="0"/>
              <w:jc w:val="center"/>
              <w:spacing w:line="0" w:lineRule="atLeast"/>
              <w:rPr>
                <w:rFonts w:ascii="Times New Roman" w:hAnsi="Times New Roman" w:eastAsia="方正仿宋_GBK"/>
                <w:b/>
              </w:rPr>
            </w:pPr>
            <w:r>
              <w:rPr>
                <w:rFonts w:ascii="Times New Roman" w:hAnsi="Times New Roman" w:eastAsia="方正仿宋_GBK"/>
                <w:b/>
              </w:rPr>
              <w:t xml:space="preserve">评审标准</w:t>
            </w:r>
            <w:r>
              <w:rPr>
                <w:rFonts w:ascii="Times New Roman" w:hAnsi="Times New Roman" w:eastAsia="方正仿宋_GBK"/>
                <w:b/>
              </w:rPr>
            </w:r>
            <w:r/>
          </w:p>
        </w:tc>
        <w:tc>
          <w:tcPr>
            <w:tcW w:w="1020"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最高分</w:t>
            </w:r>
            <w:r>
              <w:rPr>
                <w:rFonts w:ascii="Times New Roman" w:hAnsi="Times New Roman" w:eastAsia="方正仿宋_GBK"/>
                <w:b/>
              </w:rPr>
            </w:r>
            <w:r/>
          </w:p>
        </w:tc>
        <w:tc>
          <w:tcPr>
            <w:tcW w:w="1110"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最低分</w:t>
            </w:r>
            <w:r>
              <w:rPr>
                <w:rFonts w:ascii="Times New Roman" w:hAnsi="Times New Roman" w:eastAsia="方正仿宋_GBK"/>
                <w:b/>
              </w:rPr>
            </w:r>
            <w:r/>
          </w:p>
        </w:tc>
        <w:tc>
          <w:tcPr>
            <w:tcW w:w="1321" w:type="dxa"/>
            <w:vAlign w:val="top"/>
            <w:textDirection w:val="lrTb"/>
            <w:noWrap w:val="false"/>
          </w:tcPr>
          <w:p>
            <w:pPr>
              <w:pStyle w:val="1087"/>
              <w:ind w:firstLine="0"/>
              <w:spacing w:line="0" w:lineRule="atLeast"/>
              <w:rPr>
                <w:rFonts w:ascii="Times New Roman" w:hAnsi="Times New Roman" w:eastAsia="方正仿宋_GBK"/>
                <w:b/>
              </w:rPr>
            </w:pPr>
            <w:r>
              <w:rPr>
                <w:rFonts w:ascii="Times New Roman" w:hAnsi="Times New Roman" w:eastAsia="方正仿宋_GBK"/>
                <w:b/>
              </w:rPr>
              <w:t xml:space="preserve">主/客观分</w:t>
            </w:r>
            <w:r>
              <w:rPr>
                <w:rFonts w:ascii="Times New Roman" w:hAnsi="Times New Roman" w:eastAsia="方正仿宋_GBK"/>
                <w:b/>
              </w:rPr>
            </w:r>
            <w:r/>
          </w:p>
        </w:tc>
      </w:tr>
      <w:tr>
        <w:trPr/>
        <w:tc>
          <w:tcPr>
            <w:tcW w:w="766" w:type="dxa"/>
            <w:vAlign w:val="center"/>
            <w:textDirection w:val="lrTb"/>
            <w:noWrap w:val="false"/>
          </w:tcPr>
          <w:p>
            <w:pPr>
              <w:pStyle w:val="1087"/>
              <w:ind w:firstLine="0"/>
              <w:jc w:val="center"/>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1</w:t>
            </w:r>
            <w:r>
              <w:rPr>
                <w:rFonts w:ascii="Times New Roman" w:hAnsi="Times New Roman" w:eastAsia="仿宋"/>
                <w:color w:val="000000"/>
                <w:sz w:val="20"/>
                <w:szCs w:val="21"/>
              </w:rPr>
            </w:r>
            <w:r/>
          </w:p>
        </w:tc>
        <w:tc>
          <w:tcPr>
            <w:tcW w:w="1425" w:type="dxa"/>
            <w:vAlign w:val="center"/>
            <w:textDirection w:val="lrTb"/>
            <w:noWrap w:val="false"/>
          </w:tcPr>
          <w:p>
            <w:pPr>
              <w:pStyle w:val="1087"/>
              <w:ind w:firstLine="0"/>
              <w:jc w:val="both"/>
              <w:spacing w:before="0" w:after="0" w:line="240" w:lineRule="auto"/>
              <w:rPr>
                <w:rFonts w:ascii="Times New Roman" w:hAnsi="Times New Roman" w:eastAsia="仿宋"/>
                <w:color w:val="000000"/>
                <w:sz w:val="20"/>
                <w:szCs w:val="21"/>
              </w:rPr>
            </w:pPr>
            <w:r>
              <w:rPr>
                <w:rFonts w:hint="eastAsia" w:ascii="Times New Roman" w:hAnsi="Times New Roman" w:eastAsia="仿宋"/>
                <w:color w:val="000000"/>
                <w:sz w:val="20"/>
                <w:szCs w:val="21"/>
              </w:rPr>
              <w:t xml:space="preserve">项目经验</w:t>
            </w:r>
            <w:r>
              <w:rPr>
                <w:rFonts w:ascii="Times New Roman" w:hAnsi="Times New Roman" w:eastAsia="仿宋"/>
                <w:color w:val="000000"/>
                <w:sz w:val="20"/>
                <w:szCs w:val="21"/>
              </w:rPr>
              <w:br w:type="textWrapping" w:clear="all"/>
            </w:r>
            <w:r>
              <w:rPr>
                <w:rFonts w:ascii="Times New Roman" w:hAnsi="Times New Roman" w:eastAsia="仿宋"/>
                <w:color w:val="000000"/>
                <w:sz w:val="20"/>
                <w:szCs w:val="21"/>
              </w:rPr>
            </w:r>
            <w:r/>
          </w:p>
        </w:tc>
        <w:tc>
          <w:tcPr>
            <w:tcW w:w="3525" w:type="dxa"/>
            <w:vAlign w:val="center"/>
            <w:textDirection w:val="lrTb"/>
            <w:noWrap w:val="false"/>
          </w:tcPr>
          <w:p>
            <w:pPr>
              <w:pStyle w:val="1087"/>
              <w:ind w:firstLine="0"/>
              <w:jc w:val="both"/>
              <w:spacing w:before="0" w:after="0" w:line="240" w:lineRule="auto"/>
              <w:rPr>
                <w:rFonts w:ascii="Times New Roman" w:hAnsi="Times New Roman" w:eastAsia="仿宋"/>
                <w:color w:val="000000"/>
                <w:sz w:val="20"/>
                <w:szCs w:val="21"/>
              </w:rPr>
            </w:pPr>
            <w:r>
              <w:rPr>
                <w:rFonts w:ascii="Times New Roman" w:hAnsi="Times New Roman" w:eastAsia="仿宋"/>
                <w:color w:val="000000"/>
                <w:sz w:val="20"/>
                <w:szCs w:val="21"/>
              </w:rPr>
              <w:t xml:space="preserve">为确保本项目顺利实施，提供</w:t>
            </w:r>
            <w:r>
              <w:rPr>
                <w:rFonts w:hint="eastAsia" w:ascii="Times New Roman" w:hAnsi="Times New Roman" w:eastAsia="仿宋"/>
                <w:color w:val="000000"/>
                <w:sz w:val="20"/>
                <w:szCs w:val="21"/>
              </w:rPr>
              <w:t xml:space="preserve">投标人或软件厂家</w:t>
            </w:r>
            <w:r>
              <w:rPr>
                <w:rFonts w:ascii="Times New Roman" w:hAnsi="Times New Roman" w:eastAsia="仿宋"/>
                <w:color w:val="000000"/>
                <w:sz w:val="20"/>
                <w:szCs w:val="21"/>
              </w:rPr>
              <w:t xml:space="preserve">承担</w:t>
            </w:r>
            <w:r>
              <w:rPr>
                <w:rFonts w:hint="eastAsia" w:ascii="Times New Roman" w:hAnsi="Times New Roman" w:eastAsia="仿宋"/>
                <w:color w:val="000000"/>
                <w:sz w:val="20"/>
                <w:szCs w:val="21"/>
              </w:rPr>
              <w:t xml:space="preserve">的</w:t>
            </w:r>
            <w:r>
              <w:rPr>
                <w:rFonts w:ascii="Times New Roman" w:hAnsi="Times New Roman" w:eastAsia="仿宋"/>
                <w:color w:val="000000"/>
                <w:sz w:val="20"/>
                <w:szCs w:val="21"/>
              </w:rPr>
              <w:t xml:space="preserve">符合</w:t>
            </w:r>
            <w:r>
              <w:rPr>
                <w:rFonts w:hint="eastAsia" w:ascii="Times New Roman" w:hAnsi="Times New Roman" w:eastAsia="仿宋"/>
                <w:color w:val="000000"/>
                <w:sz w:val="20"/>
                <w:szCs w:val="21"/>
              </w:rPr>
              <w:t xml:space="preserve">本项目专业特点</w:t>
            </w:r>
            <w:r>
              <w:rPr>
                <w:rFonts w:ascii="Times New Roman" w:hAnsi="Times New Roman" w:eastAsia="仿宋"/>
                <w:color w:val="000000"/>
                <w:sz w:val="20"/>
                <w:szCs w:val="21"/>
              </w:rPr>
              <w:t xml:space="preserve">，</w:t>
            </w:r>
            <w:r>
              <w:rPr>
                <w:rFonts w:hint="eastAsia" w:ascii="Times New Roman" w:hAnsi="Times New Roman" w:eastAsia="仿宋"/>
                <w:color w:val="000000"/>
                <w:sz w:val="20"/>
                <w:szCs w:val="21"/>
              </w:rPr>
              <w:t xml:space="preserve">业务流程相类似的项目业绩</w:t>
            </w:r>
            <w:r>
              <w:rPr>
                <w:rFonts w:ascii="Times New Roman" w:hAnsi="Times New Roman" w:eastAsia="仿宋"/>
                <w:color w:val="000000"/>
                <w:sz w:val="20"/>
                <w:szCs w:val="21"/>
              </w:rPr>
              <w:t xml:space="preserve">提供一个得</w:t>
            </w:r>
            <w:r>
              <w:rPr>
                <w:rFonts w:hint="eastAsia" w:ascii="Times New Roman" w:hAnsi="Times New Roman" w:eastAsia="仿宋"/>
                <w:color w:val="000000"/>
                <w:sz w:val="20"/>
                <w:szCs w:val="21"/>
              </w:rPr>
              <w:t xml:space="preserve">2</w:t>
            </w:r>
            <w:r>
              <w:rPr>
                <w:rFonts w:ascii="Times New Roman" w:hAnsi="Times New Roman" w:eastAsia="仿宋"/>
                <w:color w:val="000000"/>
                <w:sz w:val="20"/>
                <w:szCs w:val="21"/>
              </w:rPr>
              <w:t xml:space="preserve">分，最高得</w:t>
            </w:r>
            <w:r>
              <w:rPr>
                <w:rFonts w:hint="eastAsia" w:ascii="Times New Roman" w:hAnsi="Times New Roman" w:eastAsia="仿宋"/>
                <w:color w:val="000000"/>
                <w:sz w:val="20"/>
                <w:szCs w:val="21"/>
              </w:rPr>
              <w:t xml:space="preserve">1</w:t>
            </w:r>
            <w:r>
              <w:rPr>
                <w:rFonts w:ascii="Times New Roman" w:hAnsi="Times New Roman" w:eastAsia="仿宋"/>
                <w:color w:val="000000"/>
                <w:sz w:val="20"/>
                <w:szCs w:val="21"/>
              </w:rPr>
              <w:t xml:space="preserve">2分</w:t>
            </w:r>
            <w:r>
              <w:rPr>
                <w:rFonts w:hint="eastAsia" w:ascii="Times New Roman" w:hAnsi="Times New Roman" w:eastAsia="仿宋"/>
                <w:color w:val="000000"/>
                <w:sz w:val="20"/>
                <w:szCs w:val="21"/>
              </w:rPr>
              <w:t xml:space="preserve">。</w:t>
            </w:r>
            <w:r>
              <w:rPr>
                <w:rFonts w:ascii="Times New Roman" w:hAnsi="Times New Roman" w:eastAsia="仿宋"/>
                <w:color w:val="000000"/>
                <w:sz w:val="20"/>
                <w:szCs w:val="21"/>
              </w:rPr>
              <w:t xml:space="preserve">不提供或提供材料不全者不得分。须提供案例的合同复印件关键页（包含合同首页、项目标的、盖章页），并加盖公章。</w:t>
            </w:r>
            <w:r>
              <w:rPr>
                <w:rFonts w:ascii="Times New Roman" w:hAnsi="Times New Roman" w:eastAsia="仿宋"/>
                <w:color w:val="000000"/>
                <w:sz w:val="20"/>
                <w:szCs w:val="21"/>
              </w:rPr>
            </w:r>
            <w:r/>
          </w:p>
        </w:tc>
        <w:tc>
          <w:tcPr>
            <w:tcW w:w="1020"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hint="eastAsia" w:ascii="Times New Roman" w:hAnsi="Times New Roman" w:eastAsia="方正仿宋_GBK"/>
                <w:b/>
                <w:sz w:val="20"/>
                <w:szCs w:val="20"/>
              </w:rPr>
              <w:t xml:space="preserve">1</w:t>
            </w:r>
            <w:r>
              <w:rPr>
                <w:rFonts w:ascii="Times New Roman" w:hAnsi="Times New Roman" w:eastAsia="方正仿宋_GBK"/>
                <w:b/>
                <w:sz w:val="20"/>
                <w:szCs w:val="20"/>
              </w:rPr>
              <w:t xml:space="preserve">2</w:t>
            </w:r>
            <w:r>
              <w:rPr>
                <w:rFonts w:ascii="Times New Roman" w:hAnsi="Times New Roman" w:eastAsia="方正仿宋_GBK"/>
                <w:b/>
                <w:sz w:val="20"/>
                <w:szCs w:val="20"/>
              </w:rPr>
            </w:r>
            <w:r/>
          </w:p>
        </w:tc>
        <w:tc>
          <w:tcPr>
            <w:tcW w:w="1110"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ascii="Times New Roman" w:hAnsi="Times New Roman" w:eastAsia="方正仿宋_GBK"/>
                <w:b/>
                <w:sz w:val="20"/>
                <w:szCs w:val="20"/>
              </w:rPr>
              <w:t xml:space="preserve">0</w:t>
            </w:r>
            <w:r>
              <w:rPr>
                <w:rFonts w:ascii="Times New Roman" w:hAnsi="Times New Roman" w:eastAsia="方正仿宋_GBK"/>
                <w:b/>
                <w:sz w:val="20"/>
                <w:szCs w:val="20"/>
              </w:rPr>
            </w:r>
            <w:r/>
          </w:p>
        </w:tc>
        <w:tc>
          <w:tcPr>
            <w:tcW w:w="1321" w:type="dxa"/>
            <w:vAlign w:val="center"/>
            <w:textDirection w:val="lrTb"/>
            <w:noWrap w:val="false"/>
          </w:tcPr>
          <w:p>
            <w:pPr>
              <w:pStyle w:val="1087"/>
              <w:ind w:firstLine="0"/>
              <w:jc w:val="center"/>
              <w:spacing w:line="0" w:lineRule="atLeast"/>
              <w:rPr>
                <w:rFonts w:ascii="Times New Roman" w:hAnsi="Times New Roman" w:eastAsia="方正仿宋_GBK"/>
                <w:b/>
                <w:sz w:val="20"/>
                <w:szCs w:val="20"/>
              </w:rPr>
            </w:pPr>
            <w:r>
              <w:rPr>
                <w:rFonts w:ascii="Times New Roman" w:hAnsi="Times New Roman" w:eastAsia="方正仿宋_GBK"/>
                <w:b/>
                <w:sz w:val="20"/>
                <w:szCs w:val="20"/>
              </w:rPr>
              <w:t xml:space="preserve">客观分</w:t>
            </w:r>
            <w:r>
              <w:rPr>
                <w:rFonts w:ascii="Times New Roman" w:hAnsi="Times New Roman" w:eastAsia="方正仿宋_GBK"/>
                <w:b/>
                <w:sz w:val="20"/>
                <w:szCs w:val="20"/>
              </w:rPr>
            </w:r>
            <w:r/>
          </w:p>
        </w:tc>
      </w:tr>
    </w:tbl>
    <w:p>
      <w:pPr>
        <w:pStyle w:val="998"/>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rPr>
          <w:rFonts w:hint="eastAsia"/>
        </w:rPr>
      </w:pPr>
      <w:r>
        <w:rPr>
          <w:rFonts w:hint="eastAsia"/>
        </w:rPr>
      </w:r>
      <w:r/>
    </w:p>
    <w:p>
      <w:pPr>
        <w:pStyle w:val="1066"/>
        <w:ind w:left="0" w:firstLine="0"/>
        <w:rPr>
          <w:rFonts w:hint="eastAsia"/>
        </w:rPr>
      </w:pPr>
      <w:r>
        <w:rPr>
          <w:rFonts w:hint="eastAsia"/>
        </w:rPr>
      </w:r>
      <w:r/>
    </w:p>
    <w:p>
      <w:pPr>
        <w:pStyle w:val="999"/>
        <w:rPr>
          <w:rFonts w:hint="eastAsia" w:ascii="黑体" w:eastAsia="黑体"/>
          <w:bCs/>
          <w:sz w:val="44"/>
        </w:rPr>
      </w:pPr>
      <w:r>
        <w:rPr>
          <w:rFonts w:hint="eastAsia" w:ascii="黑体" w:eastAsia="黑体"/>
          <w:bCs/>
          <w:sz w:val="44"/>
        </w:rPr>
        <w:t xml:space="preserve">第六章  投标</w:t>
      </w:r>
      <w:bookmarkEnd w:id="194"/>
      <w:r/>
      <w:bookmarkEnd w:id="195"/>
      <w:r/>
      <w:bookmarkEnd w:id="211"/>
      <w:r>
        <w:rPr>
          <w:rFonts w:hint="eastAsia" w:ascii="黑体" w:eastAsia="黑体"/>
          <w:bCs/>
          <w:sz w:val="44"/>
        </w:rPr>
        <w:t xml:space="preserve">文件格式 </w:t>
      </w:r>
      <w:r>
        <w:rPr>
          <w:rFonts w:hint="eastAsia" w:ascii="黑体" w:eastAsia="黑体"/>
          <w:bCs/>
          <w:sz w:val="44"/>
        </w:rPr>
      </w:r>
      <w:r/>
    </w:p>
    <w:p>
      <w:pPr>
        <w:pStyle w:val="998"/>
        <w:jc w:val="center"/>
        <w:rPr>
          <w:rFonts w:hint="eastAsia" w:ascii="宋体" w:hAnsi="宋体"/>
          <w:b/>
          <w:sz w:val="72"/>
        </w:rPr>
      </w:pPr>
      <w:r/>
      <w:bookmarkStart w:id="216" w:name="_Hlt26671244"/>
      <w:r/>
      <w:bookmarkEnd w:id="216"/>
      <w:r/>
      <w:bookmarkStart w:id="217" w:name="_Hlt26955039"/>
      <w:r/>
      <w:bookmarkEnd w:id="217"/>
      <w:r/>
      <w:bookmarkStart w:id="218" w:name="_Toc49090576"/>
      <w:r/>
      <w:bookmarkStart w:id="219" w:name="_Toc120614282"/>
      <w:r/>
      <w:bookmarkStart w:id="220" w:name="_Toc26554094"/>
      <w:r>
        <w:rPr>
          <w:rFonts w:hint="eastAsia" w:ascii="宋体" w:hAnsi="宋体"/>
          <w:b/>
          <w:sz w:val="72"/>
        </w:rPr>
      </w:r>
      <w:r/>
    </w:p>
    <w:p>
      <w:pPr>
        <w:pStyle w:val="99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98"/>
        <w:jc w:val="center"/>
        <w:rPr>
          <w:rFonts w:hint="eastAsia" w:ascii="宋体" w:hAnsi="宋体"/>
          <w:b/>
          <w:sz w:val="72"/>
        </w:rPr>
      </w:pPr>
      <w:r>
        <w:rPr>
          <w:rFonts w:hint="eastAsia" w:ascii="宋体" w:hAnsi="宋体"/>
          <w:b/>
          <w:sz w:val="72"/>
        </w:rPr>
      </w:r>
      <w:r/>
    </w:p>
    <w:p>
      <w:pPr>
        <w:pStyle w:val="998"/>
        <w:jc w:val="center"/>
        <w:rPr>
          <w:rFonts w:hint="eastAsia" w:ascii="宋体" w:hAnsi="宋体"/>
          <w:b/>
          <w:sz w:val="72"/>
        </w:rPr>
      </w:pPr>
      <w:r>
        <w:rPr>
          <w:rFonts w:hint="eastAsia" w:ascii="宋体" w:hAnsi="宋体"/>
          <w:b/>
          <w:sz w:val="72"/>
        </w:rPr>
      </w:r>
      <w:r/>
    </w:p>
    <w:p>
      <w:pPr>
        <w:pStyle w:val="998"/>
        <w:jc w:val="center"/>
        <w:rPr>
          <w:rFonts w:hint="eastAsia" w:ascii="宋体" w:hAnsi="宋体"/>
          <w:b/>
          <w:sz w:val="36"/>
        </w:rPr>
      </w:pPr>
      <w:r>
        <w:rPr>
          <w:rFonts w:hint="eastAsia" w:ascii="宋体" w:hAnsi="宋体"/>
          <w:b/>
          <w:sz w:val="36"/>
        </w:rPr>
      </w:r>
      <w:r/>
    </w:p>
    <w:p>
      <w:pPr>
        <w:pStyle w:val="998"/>
        <w:jc w:val="center"/>
        <w:rPr>
          <w:rFonts w:hint="eastAsia" w:ascii="宋体" w:hAnsi="宋体"/>
          <w:b/>
          <w:sz w:val="36"/>
        </w:rPr>
      </w:pPr>
      <w:r>
        <w:rPr>
          <w:rFonts w:hint="eastAsia" w:ascii="宋体" w:hAnsi="宋体"/>
          <w:b/>
          <w:sz w:val="36"/>
        </w:rPr>
      </w:r>
      <w:r/>
    </w:p>
    <w:p>
      <w:pPr>
        <w:pStyle w:val="998"/>
        <w:jc w:val="center"/>
        <w:rPr>
          <w:rFonts w:hint="eastAsia" w:ascii="宋体" w:hAnsi="宋体"/>
          <w:b/>
          <w:sz w:val="36"/>
        </w:rPr>
      </w:pPr>
      <w:r>
        <w:rPr>
          <w:rFonts w:hint="eastAsia" w:ascii="宋体" w:hAnsi="宋体"/>
          <w:b/>
          <w:sz w:val="36"/>
        </w:rPr>
      </w:r>
      <w:r/>
    </w:p>
    <w:p>
      <w:pPr>
        <w:pStyle w:val="9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98"/>
        <w:jc w:val="center"/>
        <w:spacing w:line="440" w:lineRule="exact"/>
        <w:rPr>
          <w:rFonts w:hint="eastAsia" w:ascii="宋体" w:hAnsi="宋体"/>
          <w:b/>
          <w:bCs/>
          <w:sz w:val="32"/>
          <w:szCs w:val="32"/>
        </w:rPr>
      </w:pPr>
      <w:r>
        <w:rPr>
          <w:rFonts w:hint="eastAsia" w:ascii="宋体" w:hAnsi="宋体"/>
          <w:b/>
          <w:bCs/>
          <w:sz w:val="32"/>
          <w:szCs w:val="32"/>
        </w:rPr>
      </w:r>
      <w:r/>
    </w:p>
    <w:p>
      <w:pPr>
        <w:pStyle w:val="998"/>
        <w:spacing w:line="440" w:lineRule="exact"/>
        <w:rPr>
          <w:rFonts w:ascii="宋体" w:hAnsi="宋体"/>
        </w:rPr>
      </w:pPr>
      <w:r>
        <w:rPr>
          <w:rFonts w:ascii="宋体" w:hAnsi="宋体"/>
        </w:rPr>
      </w:r>
      <w:r/>
    </w:p>
    <w:p>
      <w:pPr>
        <w:pStyle w:val="998"/>
        <w:rPr>
          <w:rFonts w:ascii="宋体" w:hAnsi="宋体"/>
          <w:b/>
          <w:bCs/>
          <w:sz w:val="32"/>
          <w:szCs w:val="32"/>
        </w:rPr>
      </w:pPr>
      <w:r>
        <w:rPr>
          <w:rFonts w:ascii="宋体" w:hAnsi="宋体"/>
          <w:b/>
          <w:bCs/>
          <w:sz w:val="32"/>
          <w:szCs w:val="32"/>
        </w:rPr>
      </w:r>
      <w:r/>
    </w:p>
    <w:p>
      <w:pPr>
        <w:pStyle w:val="1066"/>
        <w:rPr>
          <w:rFonts w:ascii="宋体" w:hAnsi="宋体"/>
          <w:b/>
          <w:bCs/>
          <w:sz w:val="32"/>
          <w:szCs w:val="32"/>
        </w:rPr>
      </w:pPr>
      <w:r>
        <w:rPr>
          <w:rFonts w:ascii="宋体" w:hAnsi="宋体"/>
          <w:b/>
          <w:bCs/>
          <w:sz w:val="32"/>
          <w:szCs w:val="32"/>
        </w:rPr>
      </w:r>
      <w:r/>
    </w:p>
    <w:p>
      <w:pPr>
        <w:pStyle w:val="1066"/>
        <w:rPr>
          <w:rFonts w:ascii="宋体" w:hAnsi="宋体"/>
          <w:b/>
          <w:bCs/>
          <w:sz w:val="32"/>
          <w:szCs w:val="32"/>
        </w:rPr>
      </w:pPr>
      <w:r>
        <w:rPr>
          <w:rFonts w:ascii="宋体" w:hAnsi="宋体"/>
          <w:b/>
          <w:bCs/>
          <w:sz w:val="32"/>
          <w:szCs w:val="32"/>
        </w:rPr>
      </w:r>
      <w:r/>
    </w:p>
    <w:p>
      <w:pPr>
        <w:pStyle w:val="1066"/>
        <w:ind w:left="0" w:firstLine="0"/>
        <w:rPr>
          <w:rFonts w:ascii="宋体" w:hAnsi="宋体"/>
          <w:b/>
          <w:bCs/>
          <w:sz w:val="32"/>
          <w:szCs w:val="32"/>
        </w:rPr>
      </w:pPr>
      <w:r>
        <w:rPr>
          <w:rFonts w:ascii="宋体" w:hAnsi="宋体"/>
          <w:b/>
          <w:bCs/>
          <w:sz w:val="32"/>
          <w:szCs w:val="32"/>
        </w:rPr>
      </w:r>
      <w:r/>
    </w:p>
    <w:p>
      <w:pPr>
        <w:pStyle w:val="998"/>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98"/>
        <w:jc w:val="center"/>
        <w:spacing w:line="440" w:lineRule="exact"/>
        <w:rPr>
          <w:rFonts w:hint="eastAsia" w:ascii="宋体" w:hAnsi="宋体"/>
          <w:b/>
          <w:bCs/>
          <w:sz w:val="32"/>
          <w:szCs w:val="32"/>
        </w:rPr>
      </w:pPr>
      <w:r>
        <w:rPr>
          <w:rFonts w:hint="eastAsia" w:ascii="宋体" w:hAnsi="宋体"/>
          <w:b/>
          <w:bCs/>
          <w:sz w:val="32"/>
          <w:szCs w:val="32"/>
        </w:rPr>
      </w:r>
      <w:r/>
    </w:p>
    <w:p>
      <w:pPr>
        <w:pStyle w:val="998"/>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98"/>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98"/>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98"/>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98"/>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98"/>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998"/>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998"/>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98"/>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998"/>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480"/>
        <w:spacing w:line="480" w:lineRule="exact"/>
        <w:rPr>
          <w:rFonts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ascii="Times New Roman" w:hAnsi="Times New Roman" w:eastAsia="方正仿宋_GBK" w:cs="Times New Roman"/>
          <w:color w:val="000000"/>
          <w:sz w:val="24"/>
          <w:szCs w:val="24"/>
          <w:lang w:val="en-US" w:eastAsia="zh-CN"/>
        </w:rPr>
      </w:r>
      <w:r/>
    </w:p>
    <w:p>
      <w:pPr>
        <w:pStyle w:val="998"/>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66"/>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99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998"/>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1010"/>
      </w:pPr>
      <w:r/>
      <w:r/>
    </w:p>
    <w:p>
      <w:pPr>
        <w:pStyle w:val="998"/>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1010"/>
      </w:pPr>
      <w:r/>
      <w:r/>
    </w:p>
    <w:p>
      <w:pPr>
        <w:pStyle w:val="998"/>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998"/>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9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1087"/>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98"/>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98"/>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98"/>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98"/>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98"/>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98"/>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1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98"/>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98"/>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98"/>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1066"/>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1066"/>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998"/>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98"/>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1066"/>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10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10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108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8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85"/>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1085"/>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1014"/>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1014"/>
        <w:ind w:firstLine="0"/>
        <w:rPr>
          <w:rFonts w:ascii="Times New Roman" w:hAnsi="Times New Roman" w:eastAsia="方正仿宋_GBK" w:cs="Times New Roman"/>
        </w:rPr>
      </w:pPr>
      <w:r>
        <w:rPr>
          <w:rFonts w:ascii="Times New Roman" w:hAnsi="Times New Roman" w:eastAsia="方正仿宋_GBK" w:cs="Times New Roman"/>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1087"/>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（被授权人签字）</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10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10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1066"/>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998"/>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98"/>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98"/>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98"/>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98"/>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98"/>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98"/>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98"/>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98"/>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98"/>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98"/>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98"/>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98"/>
        <w:ind w:firstLine="480"/>
        <w:jc w:val="left"/>
        <w:spacing w:line="46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color w:val="000000"/>
          <w:sz w:val="24"/>
          <w:szCs w:val="24"/>
        </w:rPr>
      </w:r>
      <w:r/>
    </w:p>
    <w:p>
      <w:pPr>
        <w:pStyle w:val="101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1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1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1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66"/>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998"/>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998"/>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98"/>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98"/>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98"/>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98"/>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98"/>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98"/>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98"/>
        <w:jc w:val="both"/>
        <w:rPr>
          <w:rFonts w:ascii="Times New Roman" w:hAnsi="Times New Roman" w:eastAsia="方正仿宋_GBK" w:cs="Times New Roman"/>
          <w:b/>
          <w:bCs/>
          <w:sz w:val="32"/>
          <w:szCs w:val="32"/>
        </w:rPr>
      </w:pPr>
      <w:r/>
      <w:bookmarkEnd w:id="218"/>
      <w:r/>
      <w:bookmarkEnd w:id="219"/>
      <w:r/>
      <w:bookmarkEnd w:id="220"/>
      <w:r/>
      <w:bookmarkStart w:id="221" w:name="_Toc120614284"/>
      <w:r>
        <w:rPr>
          <w:rFonts w:ascii="Times New Roman" w:hAnsi="Times New Roman" w:eastAsia="方正仿宋_GBK" w:cs="Times New Roman"/>
          <w:b/>
          <w:bCs/>
          <w:sz w:val="32"/>
          <w:szCs w:val="32"/>
        </w:rPr>
      </w:r>
      <w:r/>
    </w:p>
    <w:p>
      <w:pPr>
        <w:pStyle w:val="998"/>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98"/>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98"/>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98"/>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98"/>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8"/>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98"/>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98"/>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98"/>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1014"/>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14"/>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pPr>
      <w:r/>
      <w:r/>
    </w:p>
    <w:p>
      <w:pPr>
        <w:pStyle w:val="998"/>
        <w:jc w:val="center"/>
        <w:rPr>
          <w:rFonts w:hint="eastAsia" w:ascii="黑体" w:hAnsi="黑体" w:eastAsia="黑体"/>
          <w:b/>
          <w:sz w:val="32"/>
          <w:szCs w:val="32"/>
        </w:rPr>
      </w:pPr>
      <w:r>
        <w:rPr>
          <w:rFonts w:hint="eastAsia" w:ascii="黑体" w:hAnsi="黑体" w:eastAsia="黑体"/>
          <w:b/>
          <w:sz w:val="32"/>
          <w:szCs w:val="32"/>
        </w:rPr>
      </w:r>
      <w:r/>
    </w:p>
    <w:p>
      <w:pPr>
        <w:pStyle w:val="998"/>
        <w:jc w:val="center"/>
        <w:rPr>
          <w:rFonts w:hint="eastAsia" w:ascii="黑体" w:hAnsi="黑体" w:eastAsia="黑体"/>
          <w:b/>
          <w:sz w:val="32"/>
          <w:szCs w:val="32"/>
        </w:rPr>
      </w:pPr>
      <w:r>
        <w:rPr>
          <w:rFonts w:hint="eastAsia" w:ascii="黑体" w:hAnsi="黑体" w:eastAsia="黑体"/>
          <w:b/>
          <w:sz w:val="32"/>
          <w:szCs w:val="32"/>
        </w:rPr>
      </w:r>
      <w:r/>
    </w:p>
    <w:p>
      <w:pPr>
        <w:pStyle w:val="998"/>
      </w:pPr>
      <w:r/>
      <w:bookmarkEnd w:id="192"/>
      <w:r/>
      <w:bookmarkEnd w:id="193"/>
      <w:r/>
      <w:bookmarkEnd w:id="221"/>
      <w:r/>
      <w:r/>
    </w:p>
    <w:p>
      <w:pPr>
        <w:pStyle w:val="1066"/>
      </w:pPr>
      <w:r/>
      <w:r/>
    </w:p>
    <w:p>
      <w:pPr>
        <w:pStyle w:val="1066"/>
      </w:pPr>
      <w:r/>
      <w:r/>
    </w:p>
    <w:p>
      <w:pPr>
        <w:pStyle w:val="998"/>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98"/>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98"/>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98"/>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98"/>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98"/>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98"/>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98"/>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98"/>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98"/>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98"/>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98"/>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98"/>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98"/>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Style w:val="1072"/>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1072"/>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1072"/>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1072"/>
        <w:rFonts w:hint="eastAsia" w:ascii="方正仿宋_GBK" w:hAnsi="方正仿宋_GBK" w:eastAsia="方正仿宋_GBK" w:cs="方正仿宋_GBK"/>
      </w:rPr>
    </w:r>
    <w:r/>
  </w:p>
  <w:p>
    <w:pPr>
      <w:pStyle w:val="104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Style w:val="1072"/>
      </w:rPr>
      <w:framePr w:wrap="around" w:vAnchor="text" w:hAnchor="margin" w:xAlign="center" w:y="1"/>
    </w:pPr>
    <w:r>
      <w:fldChar w:fldCharType="begin"/>
    </w:r>
    <w:r>
      <w:rPr>
        <w:rStyle w:val="1072"/>
      </w:rPr>
      <w:instrText xml:space="preserve">PAGE  </w:instrText>
    </w:r>
    <w:r>
      <w:fldChar w:fldCharType="separate"/>
    </w:r>
    <w:r>
      <w:rPr>
        <w:rStyle w:val="1072"/>
      </w:rPr>
      <w:t xml:space="preserve">1</w:t>
    </w:r>
    <w:r>
      <w:fldChar w:fldCharType="end"/>
    </w:r>
    <w:r>
      <w:rPr>
        <w:rStyle w:val="1072"/>
      </w:rPr>
    </w:r>
    <w:r/>
  </w:p>
  <w:p>
    <w:pPr>
      <w:pStyle w:val="10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rPr>
                              <w:rStyle w:val="1072"/>
                              <w:rFonts w:hint="eastAsia" w:ascii="方正仿宋_GBK" w:hAnsi="方正仿宋_GBK" w:eastAsia="方正仿宋_GBK" w:cs="方正仿宋_GBK"/>
                            </w:rPr>
                          </w:pPr>
                          <w:r>
                            <w:rPr>
                              <w:rStyle w:val="1072"/>
                              <w:rFonts w:hint="eastAsia" w:ascii="方正仿宋_GBK" w:hAnsi="方正仿宋_GBK" w:eastAsia="方正仿宋_GBK" w:cs="方正仿宋_GBK"/>
                            </w:rPr>
                            <w:fldChar w:fldCharType="begin"/>
                          </w:r>
                          <w:r>
                            <w:rPr>
                              <w:rStyle w:val="1072"/>
                              <w:rFonts w:hint="eastAsia" w:ascii="方正仿宋_GBK" w:hAnsi="方正仿宋_GBK" w:eastAsia="方正仿宋_GBK" w:cs="方正仿宋_GBK"/>
                            </w:rPr>
                            <w:instrText xml:space="preserve"> PAGE  \* MERGEFORMAT </w:instrText>
                          </w:r>
                          <w:r>
                            <w:rPr>
                              <w:rStyle w:val="1072"/>
                              <w:rFonts w:hint="eastAsia" w:ascii="方正仿宋_GBK" w:hAnsi="方正仿宋_GBK" w:eastAsia="方正仿宋_GBK" w:cs="方正仿宋_GBK"/>
                            </w:rPr>
                            <w:fldChar w:fldCharType="separate"/>
                          </w:r>
                          <w:r>
                            <w:rPr>
                              <w:rStyle w:val="1072"/>
                              <w:rFonts w:hint="eastAsia" w:ascii="方正仿宋_GBK" w:hAnsi="方正仿宋_GBK" w:eastAsia="方正仿宋_GBK" w:cs="方正仿宋_GBK"/>
                            </w:rPr>
                            <w:t xml:space="preserve">２</w:t>
                          </w:r>
                          <w:r>
                            <w:rPr>
                              <w:rStyle w:val="1072"/>
                              <w:rFonts w:hint="eastAsia" w:ascii="方正仿宋_GBK" w:hAnsi="方正仿宋_GBK" w:eastAsia="方正仿宋_GBK" w:cs="方正仿宋_GBK"/>
                            </w:rPr>
                            <w:fldChar w:fldCharType="end"/>
                          </w:r>
                          <w:r>
                            <w:rPr>
                              <w:rStyle w:val="1072"/>
                              <w:rFonts w:hint="eastAsia" w:ascii="方正仿宋_GBK" w:hAnsi="方正仿宋_GBK" w:eastAsia="方正仿宋_GBK" w:cs="方正仿宋_GBK"/>
                            </w:rPr>
                          </w:r>
                          <w:r/>
                        </w:p>
                        <w:p>
                          <w:pPr>
                            <w:pStyle w:val="9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rPr>
                        <w:rStyle w:val="1072"/>
                        <w:rFonts w:hint="eastAsia" w:ascii="方正仿宋_GBK" w:hAnsi="方正仿宋_GBK" w:eastAsia="方正仿宋_GBK" w:cs="方正仿宋_GBK"/>
                      </w:rPr>
                    </w:pPr>
                    <w:r>
                      <w:rPr>
                        <w:rStyle w:val="1072"/>
                        <w:rFonts w:hint="eastAsia" w:ascii="方正仿宋_GBK" w:hAnsi="方正仿宋_GBK" w:eastAsia="方正仿宋_GBK" w:cs="方正仿宋_GBK"/>
                      </w:rPr>
                      <w:fldChar w:fldCharType="begin"/>
                    </w:r>
                    <w:r>
                      <w:rPr>
                        <w:rStyle w:val="1072"/>
                        <w:rFonts w:hint="eastAsia" w:ascii="方正仿宋_GBK" w:hAnsi="方正仿宋_GBK" w:eastAsia="方正仿宋_GBK" w:cs="方正仿宋_GBK"/>
                      </w:rPr>
                      <w:instrText xml:space="preserve"> PAGE  \* MERGEFORMAT </w:instrText>
                    </w:r>
                    <w:r>
                      <w:rPr>
                        <w:rStyle w:val="1072"/>
                        <w:rFonts w:hint="eastAsia" w:ascii="方正仿宋_GBK" w:hAnsi="方正仿宋_GBK" w:eastAsia="方正仿宋_GBK" w:cs="方正仿宋_GBK"/>
                      </w:rPr>
                      <w:fldChar w:fldCharType="separate"/>
                    </w:r>
                    <w:r>
                      <w:rPr>
                        <w:rStyle w:val="1072"/>
                        <w:rFonts w:hint="eastAsia" w:ascii="方正仿宋_GBK" w:hAnsi="方正仿宋_GBK" w:eastAsia="方正仿宋_GBK" w:cs="方正仿宋_GBK"/>
                      </w:rPr>
                      <w:t xml:space="preserve">２</w:t>
                    </w:r>
                    <w:r>
                      <w:rPr>
                        <w:rStyle w:val="1072"/>
                        <w:rFonts w:hint="eastAsia" w:ascii="方正仿宋_GBK" w:hAnsi="方正仿宋_GBK" w:eastAsia="方正仿宋_GBK" w:cs="方正仿宋_GBK"/>
                      </w:rPr>
                      <w:fldChar w:fldCharType="end"/>
                    </w:r>
                    <w:r>
                      <w:rPr>
                        <w:rStyle w:val="1072"/>
                        <w:rFonts w:hint="eastAsia" w:ascii="方正仿宋_GBK" w:hAnsi="方正仿宋_GBK" w:eastAsia="方正仿宋_GBK" w:cs="方正仿宋_GBK"/>
                      </w:rPr>
                    </w:r>
                    <w:r/>
                  </w:p>
                  <w:p>
                    <w:pPr>
                      <w:pStyle w:val="99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98"/>
        <w:ind w:left="440" w:hanging="440"/>
      </w:pPr>
      <w:rPr>
        <w:rFonts w:ascii="Wingdings" w:hAnsi="Wingdings"/>
      </w:rPr>
    </w:lvl>
    <w:lvl w:ilvl="1">
      <w:start w:val="1"/>
      <w:numFmt w:val="bullet"/>
      <w:isLgl w:val="false"/>
      <w:suff w:val="tab"/>
      <w:lvlText w:val=""/>
      <w:lvlJc w:val="left"/>
      <w:pPr>
        <w:pStyle w:val="998"/>
        <w:ind w:left="880" w:hanging="440"/>
      </w:pPr>
      <w:rPr>
        <w:rFonts w:ascii="Wingdings" w:hAnsi="Wingdings"/>
      </w:rPr>
    </w:lvl>
    <w:lvl w:ilvl="2">
      <w:start w:val="1"/>
      <w:numFmt w:val="bullet"/>
      <w:isLgl w:val="false"/>
      <w:suff w:val="tab"/>
      <w:lvlText w:val=""/>
      <w:lvlJc w:val="left"/>
      <w:pPr>
        <w:pStyle w:val="998"/>
        <w:ind w:left="1320" w:hanging="440"/>
      </w:pPr>
      <w:rPr>
        <w:rFonts w:ascii="Wingdings" w:hAnsi="Wingdings"/>
      </w:rPr>
    </w:lvl>
    <w:lvl w:ilvl="3">
      <w:start w:val="1"/>
      <w:numFmt w:val="bullet"/>
      <w:isLgl w:val="false"/>
      <w:suff w:val="tab"/>
      <w:lvlText w:val=""/>
      <w:lvlJc w:val="left"/>
      <w:pPr>
        <w:pStyle w:val="998"/>
        <w:ind w:left="1760" w:hanging="440"/>
      </w:pPr>
      <w:rPr>
        <w:rFonts w:ascii="Wingdings" w:hAnsi="Wingdings"/>
      </w:rPr>
    </w:lvl>
    <w:lvl w:ilvl="4">
      <w:start w:val="1"/>
      <w:numFmt w:val="bullet"/>
      <w:isLgl w:val="false"/>
      <w:suff w:val="tab"/>
      <w:lvlText w:val=""/>
      <w:lvlJc w:val="left"/>
      <w:pPr>
        <w:pStyle w:val="998"/>
        <w:ind w:left="2200" w:hanging="440"/>
      </w:pPr>
      <w:rPr>
        <w:rFonts w:ascii="Wingdings" w:hAnsi="Wingdings"/>
      </w:rPr>
    </w:lvl>
    <w:lvl w:ilvl="5">
      <w:start w:val="1"/>
      <w:numFmt w:val="bullet"/>
      <w:isLgl w:val="false"/>
      <w:suff w:val="tab"/>
      <w:lvlText w:val=""/>
      <w:lvlJc w:val="left"/>
      <w:pPr>
        <w:pStyle w:val="998"/>
        <w:ind w:left="2640" w:hanging="440"/>
      </w:pPr>
      <w:rPr>
        <w:rFonts w:ascii="Wingdings" w:hAnsi="Wingdings"/>
      </w:rPr>
    </w:lvl>
    <w:lvl w:ilvl="6">
      <w:start w:val="1"/>
      <w:numFmt w:val="bullet"/>
      <w:isLgl w:val="false"/>
      <w:suff w:val="tab"/>
      <w:lvlText w:val=""/>
      <w:lvlJc w:val="left"/>
      <w:pPr>
        <w:pStyle w:val="998"/>
        <w:ind w:left="3080" w:hanging="440"/>
      </w:pPr>
      <w:rPr>
        <w:rFonts w:ascii="Wingdings" w:hAnsi="Wingdings"/>
      </w:rPr>
    </w:lvl>
    <w:lvl w:ilvl="7">
      <w:start w:val="1"/>
      <w:numFmt w:val="bullet"/>
      <w:isLgl w:val="false"/>
      <w:suff w:val="tab"/>
      <w:lvlText w:val=""/>
      <w:lvlJc w:val="left"/>
      <w:pPr>
        <w:pStyle w:val="998"/>
        <w:ind w:left="3520" w:hanging="440"/>
      </w:pPr>
      <w:rPr>
        <w:rFonts w:ascii="Wingdings" w:hAnsi="Wingdings"/>
      </w:rPr>
    </w:lvl>
    <w:lvl w:ilvl="8">
      <w:start w:val="1"/>
      <w:numFmt w:val="bullet"/>
      <w:isLgl w:val="false"/>
      <w:suff w:val="tab"/>
      <w:lvlText w:val=""/>
      <w:lvlJc w:val="left"/>
      <w:pPr>
        <w:pStyle w:val="998"/>
        <w:ind w:left="3960" w:hanging="440"/>
      </w:pPr>
      <w:rPr>
        <w:rFonts w:ascii="Wingdings" w:hAnsi="Wingdings"/>
      </w:rPr>
    </w:lvl>
  </w:abstractNum>
  <w:abstractNum w:abstractNumId="1">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9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98"/>
        <w:ind w:left="0" w:firstLine="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4">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6">
    <w:multiLevelType w:val="hybridMultilevel"/>
    <w:lvl w:ilvl="0">
      <w:start w:val="4"/>
      <w:numFmt w:val="decimal"/>
      <w:isLgl w:val="false"/>
      <w:suff w:val="space"/>
      <w:lvlText w:val="%1."/>
      <w:lvlJc w:val="left"/>
      <w:pPr>
        <w:pStyle w:val="9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8">
    <w:multiLevelType w:val="hybridMultilevel"/>
    <w:lvl w:ilvl="0">
      <w:start w:val="1"/>
      <w:numFmt w:val="bullet"/>
      <w:isLgl w:val="false"/>
      <w:suff w:val="tab"/>
      <w:lvlText w:val=""/>
      <w:lvlJc w:val="left"/>
      <w:pPr>
        <w:pStyle w:val="998"/>
        <w:ind w:left="440" w:hanging="440"/>
      </w:pPr>
      <w:rPr>
        <w:rFonts w:ascii="Wingdings" w:hAnsi="Wingdings"/>
      </w:rPr>
    </w:lvl>
    <w:lvl w:ilvl="1">
      <w:start w:val="1"/>
      <w:numFmt w:val="bullet"/>
      <w:isLgl w:val="false"/>
      <w:suff w:val="tab"/>
      <w:lvlText w:val=""/>
      <w:lvlJc w:val="left"/>
      <w:pPr>
        <w:pStyle w:val="998"/>
        <w:ind w:left="880" w:hanging="440"/>
      </w:pPr>
      <w:rPr>
        <w:rFonts w:ascii="Wingdings" w:hAnsi="Wingdings"/>
      </w:rPr>
    </w:lvl>
    <w:lvl w:ilvl="2">
      <w:start w:val="1"/>
      <w:numFmt w:val="bullet"/>
      <w:isLgl w:val="false"/>
      <w:suff w:val="tab"/>
      <w:lvlText w:val=""/>
      <w:lvlJc w:val="left"/>
      <w:pPr>
        <w:pStyle w:val="998"/>
        <w:ind w:left="1320" w:hanging="440"/>
      </w:pPr>
      <w:rPr>
        <w:rFonts w:ascii="Wingdings" w:hAnsi="Wingdings"/>
      </w:rPr>
    </w:lvl>
    <w:lvl w:ilvl="3">
      <w:start w:val="1"/>
      <w:numFmt w:val="bullet"/>
      <w:isLgl w:val="false"/>
      <w:suff w:val="tab"/>
      <w:lvlText w:val=""/>
      <w:lvlJc w:val="left"/>
      <w:pPr>
        <w:pStyle w:val="998"/>
        <w:ind w:left="1760" w:hanging="440"/>
      </w:pPr>
      <w:rPr>
        <w:rFonts w:ascii="Wingdings" w:hAnsi="Wingdings"/>
      </w:rPr>
    </w:lvl>
    <w:lvl w:ilvl="4">
      <w:start w:val="1"/>
      <w:numFmt w:val="bullet"/>
      <w:isLgl w:val="false"/>
      <w:suff w:val="tab"/>
      <w:lvlText w:val=""/>
      <w:lvlJc w:val="left"/>
      <w:pPr>
        <w:pStyle w:val="998"/>
        <w:ind w:left="2200" w:hanging="440"/>
      </w:pPr>
      <w:rPr>
        <w:rFonts w:ascii="Wingdings" w:hAnsi="Wingdings"/>
      </w:rPr>
    </w:lvl>
    <w:lvl w:ilvl="5">
      <w:start w:val="1"/>
      <w:numFmt w:val="bullet"/>
      <w:isLgl w:val="false"/>
      <w:suff w:val="tab"/>
      <w:lvlText w:val=""/>
      <w:lvlJc w:val="left"/>
      <w:pPr>
        <w:pStyle w:val="998"/>
        <w:ind w:left="2640" w:hanging="440"/>
      </w:pPr>
      <w:rPr>
        <w:rFonts w:ascii="Wingdings" w:hAnsi="Wingdings"/>
      </w:rPr>
    </w:lvl>
    <w:lvl w:ilvl="6">
      <w:start w:val="1"/>
      <w:numFmt w:val="bullet"/>
      <w:isLgl w:val="false"/>
      <w:suff w:val="tab"/>
      <w:lvlText w:val=""/>
      <w:lvlJc w:val="left"/>
      <w:pPr>
        <w:pStyle w:val="998"/>
        <w:ind w:left="3080" w:hanging="440"/>
      </w:pPr>
      <w:rPr>
        <w:rFonts w:ascii="Wingdings" w:hAnsi="Wingdings"/>
      </w:rPr>
    </w:lvl>
    <w:lvl w:ilvl="7">
      <w:start w:val="1"/>
      <w:numFmt w:val="bullet"/>
      <w:isLgl w:val="false"/>
      <w:suff w:val="tab"/>
      <w:lvlText w:val=""/>
      <w:lvlJc w:val="left"/>
      <w:pPr>
        <w:pStyle w:val="998"/>
        <w:ind w:left="3520" w:hanging="440"/>
      </w:pPr>
      <w:rPr>
        <w:rFonts w:ascii="Wingdings" w:hAnsi="Wingdings"/>
      </w:rPr>
    </w:lvl>
    <w:lvl w:ilvl="8">
      <w:start w:val="1"/>
      <w:numFmt w:val="bullet"/>
      <w:isLgl w:val="false"/>
      <w:suff w:val="tab"/>
      <w:lvlText w:val=""/>
      <w:lvlJc w:val="left"/>
      <w:pPr>
        <w:pStyle w:val="998"/>
        <w:ind w:left="3960" w:hanging="440"/>
      </w:pPr>
      <w:rPr>
        <w:rFonts w:ascii="Wingdings" w:hAnsi="Wingdings"/>
      </w:rPr>
    </w:lvl>
  </w:abstractNum>
  <w:abstractNum w:abstractNumId="9">
    <w:multiLevelType w:val="hybridMultilevel"/>
    <w:lvl w:ilvl="0">
      <w:start w:val="1"/>
      <w:numFmt w:val="upperLetter"/>
      <w:pStyle w:val="1079"/>
      <w:isLgl w:val="false"/>
      <w:suff w:val="tab"/>
      <w:lvlText w:val="附录%1."/>
      <w:lvlJc w:val="left"/>
      <w:pPr>
        <w:pStyle w:val="9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2">
    <w:multiLevelType w:val="hybridMultilevel"/>
    <w:lvl w:ilvl="0">
      <w:start w:val="3"/>
      <w:numFmt w:val="japaneseCounting"/>
      <w:isLgl w:val="false"/>
      <w:suff w:val="tab"/>
      <w:lvlText w:val="第%1条"/>
      <w:lvlJc w:val="left"/>
      <w:pPr>
        <w:pStyle w:val="998"/>
        <w:ind w:left="735" w:hanging="735"/>
        <w:tabs>
          <w:tab w:val="num" w:pos="735" w:leader="none"/>
        </w:tabs>
      </w:pPr>
    </w:lvl>
    <w:lvl w:ilvl="1">
      <w:start w:val="1"/>
      <w:numFmt w:val="lowerLetter"/>
      <w:isLgl w:val="false"/>
      <w:suff w:val="tab"/>
      <w:lvlText w:val="%2)"/>
      <w:lvlJc w:val="left"/>
      <w:pPr>
        <w:pStyle w:val="998"/>
        <w:ind w:left="840" w:hanging="420"/>
        <w:tabs>
          <w:tab w:val="num" w:pos="840" w:leader="none"/>
        </w:tabs>
      </w:pPr>
    </w:lvl>
    <w:lvl w:ilvl="2">
      <w:start w:val="1"/>
      <w:numFmt w:val="lowerRoman"/>
      <w:isLgl w:val="false"/>
      <w:suff w:val="tab"/>
      <w:lvlText w:val="%3."/>
      <w:lvlJc w:val="right"/>
      <w:pPr>
        <w:pStyle w:val="998"/>
        <w:ind w:left="1260" w:hanging="420"/>
        <w:tabs>
          <w:tab w:val="num" w:pos="1260" w:leader="none"/>
        </w:tabs>
      </w:pPr>
    </w:lvl>
    <w:lvl w:ilvl="3">
      <w:start w:val="1"/>
      <w:numFmt w:val="decimal"/>
      <w:isLgl w:val="false"/>
      <w:suff w:val="tab"/>
      <w:lvlText w:val="%4."/>
      <w:lvlJc w:val="left"/>
      <w:pPr>
        <w:pStyle w:val="998"/>
        <w:ind w:left="1680" w:hanging="420"/>
        <w:tabs>
          <w:tab w:val="num" w:pos="1680" w:leader="none"/>
        </w:tabs>
      </w:pPr>
    </w:lvl>
    <w:lvl w:ilvl="4">
      <w:start w:val="1"/>
      <w:numFmt w:val="lowerLetter"/>
      <w:isLgl w:val="false"/>
      <w:suff w:val="tab"/>
      <w:lvlText w:val="%5)"/>
      <w:lvlJc w:val="left"/>
      <w:pPr>
        <w:pStyle w:val="998"/>
        <w:ind w:left="2100" w:hanging="420"/>
        <w:tabs>
          <w:tab w:val="num" w:pos="2100" w:leader="none"/>
        </w:tabs>
      </w:pPr>
    </w:lvl>
    <w:lvl w:ilvl="5">
      <w:start w:val="1"/>
      <w:numFmt w:val="lowerRoman"/>
      <w:isLgl w:val="false"/>
      <w:suff w:val="tab"/>
      <w:lvlText w:val="%6."/>
      <w:lvlJc w:val="right"/>
      <w:pPr>
        <w:pStyle w:val="998"/>
        <w:ind w:left="2520" w:hanging="420"/>
        <w:tabs>
          <w:tab w:val="num" w:pos="2520" w:leader="none"/>
        </w:tabs>
      </w:pPr>
    </w:lvl>
    <w:lvl w:ilvl="6">
      <w:start w:val="1"/>
      <w:numFmt w:val="decimal"/>
      <w:isLgl w:val="false"/>
      <w:suff w:val="tab"/>
      <w:lvlText w:val="%7."/>
      <w:lvlJc w:val="left"/>
      <w:pPr>
        <w:pStyle w:val="998"/>
        <w:ind w:left="2940" w:hanging="420"/>
        <w:tabs>
          <w:tab w:val="num" w:pos="2940" w:leader="none"/>
        </w:tabs>
      </w:pPr>
    </w:lvl>
    <w:lvl w:ilvl="7">
      <w:start w:val="1"/>
      <w:numFmt w:val="lowerLetter"/>
      <w:isLgl w:val="false"/>
      <w:suff w:val="tab"/>
      <w:lvlText w:val="%8)"/>
      <w:lvlJc w:val="left"/>
      <w:pPr>
        <w:pStyle w:val="998"/>
        <w:ind w:left="3360" w:hanging="420"/>
        <w:tabs>
          <w:tab w:val="num" w:pos="3360" w:leader="none"/>
        </w:tabs>
      </w:pPr>
    </w:lvl>
    <w:lvl w:ilvl="8">
      <w:start w:val="1"/>
      <w:numFmt w:val="lowerRoman"/>
      <w:isLgl w:val="false"/>
      <w:suff w:val="tab"/>
      <w:lvlText w:val="%9."/>
      <w:lvlJc w:val="right"/>
      <w:pPr>
        <w:pStyle w:val="998"/>
        <w:ind w:left="3780" w:hanging="420"/>
        <w:tabs>
          <w:tab w:val="num" w:pos="3780" w:leader="none"/>
        </w:tabs>
      </w:pPr>
    </w:lvl>
  </w:abstractNum>
  <w:abstractNum w:abstractNumId="13">
    <w:multiLevelType w:val="hybridMultilevel"/>
    <w:lvl w:ilvl="0">
      <w:start w:val="4"/>
      <w:numFmt w:val="decimal"/>
      <w:isLgl w:val="false"/>
      <w:suff w:val="nothing"/>
      <w:lvlText w:val="（%1）"/>
      <w:lvlJc w:val="left"/>
      <w:pPr>
        <w:pStyle w:val="998"/>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4">
    <w:multiLevelType w:val="hybridMultilevel"/>
    <w:lvl w:ilvl="0">
      <w:start w:val="1"/>
      <w:numFmt w:val="decimal"/>
      <w:pStyle w:val="1096"/>
      <w:isLgl w:val="false"/>
      <w:suff w:val="tab"/>
      <w:lvlText w:val="%1."/>
      <w:lvlJc w:val="left"/>
      <w:pPr>
        <w:pStyle w:val="998"/>
        <w:ind w:left="709" w:hanging="709"/>
        <w:tabs>
          <w:tab w:val="num" w:pos="709" w:leader="none"/>
        </w:tabs>
      </w:pPr>
      <w:rPr>
        <w:rFonts w:hint="eastAsia"/>
      </w:rPr>
    </w:lvl>
    <w:lvl w:ilvl="1">
      <w:start w:val="1"/>
      <w:numFmt w:val="decimal"/>
      <w:isLgl w:val="false"/>
      <w:suff w:val="tab"/>
      <w:lvlText w:val="%1.%2"/>
      <w:lvlJc w:val="left"/>
      <w:pPr>
        <w:pStyle w:val="998"/>
        <w:ind w:left="709" w:hanging="709"/>
        <w:tabs>
          <w:tab w:val="num" w:pos="709" w:leader="none"/>
        </w:tabs>
      </w:pPr>
      <w:rPr>
        <w:rFonts w:hint="eastAsia"/>
      </w:rPr>
    </w:lvl>
    <w:lvl w:ilvl="2">
      <w:start w:val="1"/>
      <w:numFmt w:val="decimal"/>
      <w:isLgl w:val="false"/>
      <w:suff w:val="tab"/>
      <w:lvlText w:val="%1.%2.%3."/>
      <w:lvlJc w:val="left"/>
      <w:pPr>
        <w:pStyle w:val="998"/>
        <w:ind w:left="425" w:hanging="425"/>
        <w:tabs>
          <w:tab w:val="num" w:pos="425" w:leader="none"/>
        </w:tabs>
      </w:pPr>
      <w:rPr>
        <w:rFonts w:hint="eastAsia"/>
      </w:rPr>
    </w:lvl>
    <w:lvl w:ilvl="3">
      <w:start w:val="1"/>
      <w:numFmt w:val="decimal"/>
      <w:isLgl w:val="false"/>
      <w:suff w:val="tab"/>
      <w:lvlText w:val="%1.%2.%3.%4."/>
      <w:lvlJc w:val="left"/>
      <w:pPr>
        <w:pStyle w:val="998"/>
        <w:ind w:left="851" w:hanging="851"/>
        <w:tabs>
          <w:tab w:val="num" w:pos="851" w:leader="none"/>
        </w:tabs>
      </w:pPr>
      <w:rPr>
        <w:rFonts w:hint="eastAsia"/>
      </w:rPr>
    </w:lvl>
    <w:lvl w:ilvl="4">
      <w:start w:val="1"/>
      <w:numFmt w:val="decimal"/>
      <w:isLgl w:val="false"/>
      <w:suff w:val="tab"/>
      <w:lvlText w:val="%1.%2.%3.%4.%5."/>
      <w:lvlJc w:val="left"/>
      <w:pPr>
        <w:pStyle w:val="998"/>
        <w:ind w:left="992" w:hanging="992"/>
        <w:tabs>
          <w:tab w:val="num" w:pos="992" w:leader="none"/>
        </w:tabs>
      </w:pPr>
      <w:rPr>
        <w:rFonts w:hint="eastAsia"/>
      </w:rPr>
    </w:lvl>
    <w:lvl w:ilvl="5">
      <w:start w:val="1"/>
      <w:numFmt w:val="decimal"/>
      <w:isLgl w:val="false"/>
      <w:suff w:val="tab"/>
      <w:lvlText w:val="%1.%2.%3.%4.%5.%6."/>
      <w:lvlJc w:val="left"/>
      <w:pPr>
        <w:pStyle w:val="998"/>
        <w:ind w:left="1134" w:hanging="1134"/>
        <w:tabs>
          <w:tab w:val="num" w:pos="1134" w:leader="none"/>
        </w:tabs>
      </w:pPr>
      <w:rPr>
        <w:rFonts w:hint="eastAsia"/>
      </w:rPr>
    </w:lvl>
    <w:lvl w:ilvl="6">
      <w:start w:val="1"/>
      <w:numFmt w:val="decimal"/>
      <w:isLgl w:val="false"/>
      <w:suff w:val="tab"/>
      <w:lvlText w:val="%1.%2.%3.%4.%5.%6.%7."/>
      <w:lvlJc w:val="left"/>
      <w:pPr>
        <w:pStyle w:val="998"/>
        <w:ind w:left="1276" w:hanging="1276"/>
        <w:tabs>
          <w:tab w:val="num" w:pos="1276" w:leader="none"/>
        </w:tabs>
      </w:pPr>
      <w:rPr>
        <w:rFonts w:hint="eastAsia"/>
      </w:rPr>
    </w:lvl>
    <w:lvl w:ilvl="7">
      <w:start w:val="1"/>
      <w:numFmt w:val="decimal"/>
      <w:isLgl w:val="false"/>
      <w:suff w:val="tab"/>
      <w:lvlText w:val="%1.%2.%3.%4.%5.%6.%7.%8."/>
      <w:lvlJc w:val="left"/>
      <w:pPr>
        <w:pStyle w:val="998"/>
        <w:ind w:left="1418" w:hanging="1418"/>
        <w:tabs>
          <w:tab w:val="num" w:pos="1418" w:leader="none"/>
        </w:tabs>
      </w:pPr>
      <w:rPr>
        <w:rFonts w:hint="eastAsia"/>
      </w:rPr>
    </w:lvl>
    <w:lvl w:ilvl="8">
      <w:start w:val="1"/>
      <w:numFmt w:val="decimal"/>
      <w:isLgl w:val="false"/>
      <w:suff w:val="tab"/>
      <w:lvlText w:val="%1.%2.%3.%4.%5.%6.%7.%8.%9."/>
      <w:lvlJc w:val="left"/>
      <w:pPr>
        <w:pStyle w:val="998"/>
        <w:ind w:left="1559" w:hanging="1559"/>
        <w:tabs>
          <w:tab w:val="num" w:pos="1559" w:leader="none"/>
        </w:tabs>
      </w:pPr>
      <w:rPr>
        <w:rFonts w:hint="eastAsia"/>
      </w:rPr>
    </w:lvl>
  </w:abstractNum>
  <w:abstractNum w:abstractNumId="15">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18">
    <w:multiLevelType w:val="hybridMultilevel"/>
    <w:lvl w:ilvl="0">
      <w:start w:val="26"/>
      <w:numFmt w:val="decimal"/>
      <w:isLgl w:val="false"/>
      <w:suff w:val="nothing"/>
      <w:lvlText w:val="%1、"/>
      <w:lvlJc w:val="left"/>
      <w:pPr>
        <w:pStyle w:val="9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pStyle w:val="998"/>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998"/>
        <w:ind w:left="0" w:firstLine="0"/>
      </w:pPr>
      <w:rPr>
        <w:rFonts w:hint="eastAsia"/>
      </w:rPr>
    </w:lvl>
    <w:lvl w:ilvl="1">
      <w:start w:val="1"/>
      <w:numFmt w:val="decimal"/>
      <w:isLgl w:val="false"/>
      <w:suff w:val="nothing"/>
      <w:lvlText w:val="%2、"/>
      <w:lvlJc w:val="left"/>
      <w:pPr>
        <w:pStyle w:val="998"/>
        <w:ind w:left="0" w:firstLine="0"/>
      </w:pPr>
      <w:rPr>
        <w:rFonts w:hint="eastAsia"/>
      </w:rPr>
    </w:lvl>
    <w:lvl w:ilvl="2">
      <w:start w:val="1"/>
      <w:numFmt w:val="decimal"/>
      <w:isLgl w:val="false"/>
      <w:suff w:val="nothing"/>
      <w:lvlText w:val="%2.%3 "/>
      <w:lvlJc w:val="left"/>
      <w:pPr>
        <w:pStyle w:val="998"/>
        <w:ind w:left="0" w:firstLine="0"/>
      </w:pPr>
      <w:rPr>
        <w:rFonts w:hint="eastAsia"/>
      </w:rPr>
    </w:lvl>
    <w:lvl w:ilvl="3">
      <w:start w:val="1"/>
      <w:numFmt w:val="decimal"/>
      <w:isLgl w:val="false"/>
      <w:suff w:val="nothing"/>
      <w:lvlText w:val="%2.%3.%4 "/>
      <w:lvlJc w:val="left"/>
      <w:pPr>
        <w:pStyle w:val="998"/>
        <w:ind w:left="0" w:firstLine="0"/>
      </w:pPr>
      <w:rPr>
        <w:rFonts w:hint="eastAsia"/>
      </w:rPr>
    </w:lvl>
    <w:lvl w:ilvl="4">
      <w:start w:val="1"/>
      <w:numFmt w:val="decimal"/>
      <w:isLgl w:val="false"/>
      <w:suff w:val="nothing"/>
      <w:lvlText w:val="%2.%3.%4.%5 "/>
      <w:lvlJc w:val="left"/>
      <w:pPr>
        <w:pStyle w:val="998"/>
        <w:ind w:left="0" w:firstLine="0"/>
      </w:pPr>
      <w:rPr>
        <w:rFonts w:hint="eastAsia"/>
      </w:rPr>
    </w:lvl>
    <w:lvl w:ilvl="5">
      <w:start w:val="1"/>
      <w:numFmt w:val="decimal"/>
      <w:pStyle w:val="1004"/>
      <w:isLgl w:val="false"/>
      <w:suff w:val="nothing"/>
      <w:lvlText w:val=""/>
      <w:lvlJc w:val="left"/>
      <w:pPr>
        <w:pStyle w:val="998"/>
        <w:ind w:left="0" w:firstLine="0"/>
      </w:pPr>
      <w:rPr>
        <w:rFonts w:hint="eastAsia"/>
      </w:rPr>
    </w:lvl>
    <w:lvl w:ilvl="6">
      <w:start w:val="1"/>
      <w:numFmt w:val="decimal"/>
      <w:pStyle w:val="1005"/>
      <w:isLgl w:val="false"/>
      <w:suff w:val="nothing"/>
      <w:lvlText w:val=""/>
      <w:lvlJc w:val="left"/>
      <w:pPr>
        <w:pStyle w:val="998"/>
        <w:ind w:left="0" w:firstLine="0"/>
      </w:pPr>
      <w:rPr>
        <w:rFonts w:hint="eastAsia"/>
      </w:rPr>
    </w:lvl>
    <w:lvl w:ilvl="7">
      <w:start w:val="1"/>
      <w:numFmt w:val="decimal"/>
      <w:pStyle w:val="1006"/>
      <w:isLgl w:val="false"/>
      <w:suff w:val="nothing"/>
      <w:lvlText w:val=""/>
      <w:lvlJc w:val="left"/>
      <w:pPr>
        <w:pStyle w:val="998"/>
        <w:ind w:left="0" w:firstLine="0"/>
      </w:pPr>
      <w:rPr>
        <w:rFonts w:hint="eastAsia"/>
      </w:rPr>
    </w:lvl>
    <w:lvl w:ilvl="8">
      <w:start w:val="1"/>
      <w:numFmt w:val="decimal"/>
      <w:pStyle w:val="1007"/>
      <w:isLgl w:val="false"/>
      <w:suff w:val="nothing"/>
      <w:lvlText w:val=""/>
      <w:lvlJc w:val="left"/>
      <w:pPr>
        <w:pStyle w:val="998"/>
        <w:ind w:left="0" w:firstLine="0"/>
      </w:pPr>
      <w:rPr>
        <w:rFonts w:hint="eastAsia"/>
      </w:rPr>
    </w:lvl>
  </w:abstractNum>
  <w:abstractNum w:abstractNumId="21">
    <w:multiLevelType w:val="hybridMultilevel"/>
    <w:lvl w:ilvl="0">
      <w:start w:val="1"/>
      <w:numFmt w:val="decimal"/>
      <w:isLgl w:val="false"/>
      <w:suff w:val="tab"/>
      <w:lvlText w:val="(%1)"/>
      <w:lvlJc w:val="left"/>
      <w:pPr>
        <w:pStyle w:val="998"/>
        <w:ind w:left="425" w:hanging="425"/>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abstractNum w:abstractNumId="22">
    <w:multiLevelType w:val="hybridMultilevel"/>
    <w:lvl w:ilvl="0">
      <w:start w:val="1"/>
      <w:numFmt w:val="japaneseCounting"/>
      <w:isLgl w:val="false"/>
      <w:suff w:val="tab"/>
      <w:lvlText w:val="第%1章"/>
      <w:lvlJc w:val="left"/>
      <w:pPr>
        <w:pStyle w:val="9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98"/>
        <w:ind w:left="0" w:firstLine="400"/>
      </w:pPr>
    </w:lvl>
    <w:lvl w:ilvl="1">
      <w:start w:val="1"/>
      <w:numFmt w:val="bullet"/>
      <w:isLgl w:val="false"/>
      <w:suff w:val="tab"/>
      <w:lvlText w:val="o"/>
      <w:lvlJc w:val="left"/>
      <w:pPr>
        <w:pStyle w:val="998"/>
        <w:ind w:left="1440" w:hanging="360"/>
      </w:pPr>
      <w:rPr>
        <w:rFonts w:ascii="Courier New" w:hAnsi="Courier New" w:eastAsia="Courier New" w:cs="Courier New"/>
      </w:rPr>
    </w:lvl>
    <w:lvl w:ilvl="2">
      <w:start w:val="1"/>
      <w:numFmt w:val="bullet"/>
      <w:isLgl w:val="false"/>
      <w:suff w:val="tab"/>
      <w:lvlText w:val="§"/>
      <w:lvlJc w:val="left"/>
      <w:pPr>
        <w:pStyle w:val="998"/>
        <w:ind w:left="2160" w:hanging="360"/>
      </w:pPr>
      <w:rPr>
        <w:rFonts w:ascii="Wingdings" w:hAnsi="Wingdings" w:eastAsia="Wingdings" w:cs="Wingdings"/>
      </w:rPr>
    </w:lvl>
    <w:lvl w:ilvl="3">
      <w:start w:val="1"/>
      <w:numFmt w:val="bullet"/>
      <w:isLgl w:val="false"/>
      <w:suff w:val="tab"/>
      <w:lvlText w:val="·"/>
      <w:lvlJc w:val="left"/>
      <w:pPr>
        <w:pStyle w:val="998"/>
        <w:ind w:left="2880" w:hanging="360"/>
      </w:pPr>
      <w:rPr>
        <w:rFonts w:ascii="Symbol" w:hAnsi="Symbol" w:eastAsia="Symbol" w:cs="Symbol"/>
      </w:rPr>
    </w:lvl>
    <w:lvl w:ilvl="4">
      <w:start w:val="1"/>
      <w:numFmt w:val="bullet"/>
      <w:isLgl w:val="false"/>
      <w:suff w:val="tab"/>
      <w:lvlText w:val="o"/>
      <w:lvlJc w:val="left"/>
      <w:pPr>
        <w:pStyle w:val="998"/>
        <w:ind w:left="3600" w:hanging="360"/>
      </w:pPr>
      <w:rPr>
        <w:rFonts w:ascii="Courier New" w:hAnsi="Courier New" w:eastAsia="Courier New" w:cs="Courier New"/>
      </w:rPr>
    </w:lvl>
    <w:lvl w:ilvl="5">
      <w:start w:val="1"/>
      <w:numFmt w:val="bullet"/>
      <w:isLgl w:val="false"/>
      <w:suff w:val="tab"/>
      <w:lvlText w:val="§"/>
      <w:lvlJc w:val="left"/>
      <w:pPr>
        <w:pStyle w:val="998"/>
        <w:ind w:left="4320" w:hanging="360"/>
      </w:pPr>
      <w:rPr>
        <w:rFonts w:ascii="Wingdings" w:hAnsi="Wingdings" w:eastAsia="Wingdings" w:cs="Wingdings"/>
      </w:rPr>
    </w:lvl>
    <w:lvl w:ilvl="6">
      <w:start w:val="1"/>
      <w:numFmt w:val="bullet"/>
      <w:isLgl w:val="false"/>
      <w:suff w:val="tab"/>
      <w:lvlText w:val="·"/>
      <w:lvlJc w:val="left"/>
      <w:pPr>
        <w:pStyle w:val="998"/>
        <w:ind w:left="5040" w:hanging="360"/>
      </w:pPr>
      <w:rPr>
        <w:rFonts w:ascii="Symbol" w:hAnsi="Symbol" w:eastAsia="Symbol" w:cs="Symbol"/>
      </w:rPr>
    </w:lvl>
    <w:lvl w:ilvl="7">
      <w:start w:val="1"/>
      <w:numFmt w:val="bullet"/>
      <w:isLgl w:val="false"/>
      <w:suff w:val="tab"/>
      <w:lvlText w:val="o"/>
      <w:lvlJc w:val="left"/>
      <w:pPr>
        <w:pStyle w:val="998"/>
        <w:ind w:left="5760" w:hanging="360"/>
      </w:pPr>
      <w:rPr>
        <w:rFonts w:ascii="Courier New" w:hAnsi="Courier New" w:eastAsia="Courier New" w:cs="Courier New"/>
      </w:rPr>
    </w:lvl>
    <w:lvl w:ilvl="8">
      <w:start w:val="1"/>
      <w:numFmt w:val="bullet"/>
      <w:isLgl w:val="false"/>
      <w:suff w:val="tab"/>
      <w:lvlText w:val="§"/>
      <w:lvlJc w:val="left"/>
      <w:pPr>
        <w:pStyle w:val="998"/>
        <w:ind w:left="6480" w:hanging="360"/>
      </w:pPr>
      <w:rPr>
        <w:rFonts w:ascii="Wingdings" w:hAnsi="Wingdings" w:eastAsia="Wingdings" w:cs="Wingdings"/>
      </w:rPr>
    </w:lvl>
  </w:abstractNum>
  <w:num w:numId="1">
    <w:abstractNumId w:val="20"/>
  </w:num>
  <w:num w:numId="2">
    <w:abstractNumId w:val="9"/>
  </w:num>
  <w:num w:numId="3">
    <w:abstractNumId w:val="14"/>
  </w:num>
  <w:num w:numId="4">
    <w:abstractNumId w:val="22"/>
  </w:num>
  <w:num w:numId="5">
    <w:abstractNumId w:val="6"/>
  </w:num>
  <w:num w:numId="6">
    <w:abstractNumId w:val="18"/>
  </w:num>
  <w:num w:numId="7">
    <w:abstractNumId w:val="12"/>
  </w:num>
  <w:num w:numId="8">
    <w:abstractNumId w:val="23"/>
  </w:num>
  <w:num w:numId="9">
    <w:abstractNumId w:val="8"/>
  </w:num>
  <w:num w:numId="10">
    <w:abstractNumId w:val="0"/>
  </w:num>
  <w:num w:numId="11">
    <w:abstractNumId w:val="13"/>
  </w:num>
  <w:num w:numId="12">
    <w:abstractNumId w:val="19"/>
  </w:num>
  <w:num w:numId="13">
    <w:abstractNumId w:val="3"/>
  </w:num>
  <w:num w:numId="14">
    <w:abstractNumId w:val="17"/>
  </w:num>
  <w:num w:numId="15">
    <w:abstractNumId w:val="7"/>
  </w:num>
  <w:num w:numId="16">
    <w:abstractNumId w:val="11"/>
  </w:num>
  <w:num w:numId="17">
    <w:abstractNumId w:val="5"/>
  </w:num>
  <w:num w:numId="18">
    <w:abstractNumId w:val="4"/>
  </w:num>
  <w:num w:numId="19">
    <w:abstractNumId w:val="1"/>
  </w:num>
  <w:num w:numId="20">
    <w:abstractNumId w:val="16"/>
  </w:num>
  <w:num w:numId="21">
    <w:abstractNumId w:val="21"/>
  </w:num>
  <w:num w:numId="22">
    <w:abstractNumId w:val="10"/>
  </w:num>
  <w:num w:numId="23">
    <w:abstractNumId w:val="1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998"/>
    <w:next w:val="998"/>
    <w:link w:val="821"/>
    <w:uiPriority w:val="9"/>
    <w:qFormat/>
    <w:pPr>
      <w:keepLines/>
      <w:keepNext/>
      <w:spacing w:before="480" w:after="200"/>
      <w:outlineLvl w:val="0"/>
    </w:pPr>
    <w:rPr>
      <w:rFonts w:ascii="Arial" w:hAnsi="Arial" w:eastAsia="Arial" w:cs="Arial"/>
      <w:sz w:val="40"/>
      <w:szCs w:val="40"/>
    </w:rPr>
  </w:style>
  <w:style w:type="character" w:styleId="821">
    <w:name w:val="Heading 1 Char"/>
    <w:link w:val="820"/>
    <w:uiPriority w:val="9"/>
    <w:rPr>
      <w:rFonts w:ascii="Arial" w:hAnsi="Arial" w:eastAsia="Arial" w:cs="Arial"/>
      <w:sz w:val="40"/>
      <w:szCs w:val="40"/>
    </w:rPr>
  </w:style>
  <w:style w:type="paragraph" w:styleId="822">
    <w:name w:val="Heading 2"/>
    <w:basedOn w:val="998"/>
    <w:next w:val="998"/>
    <w:link w:val="823"/>
    <w:uiPriority w:val="9"/>
    <w:unhideWhenUsed/>
    <w:qFormat/>
    <w:pPr>
      <w:keepLines/>
      <w:keepNext/>
      <w:spacing w:before="360" w:after="200"/>
      <w:outlineLvl w:val="1"/>
    </w:pPr>
    <w:rPr>
      <w:rFonts w:ascii="Arial" w:hAnsi="Arial" w:eastAsia="Arial" w:cs="Arial"/>
      <w:sz w:val="34"/>
    </w:rPr>
  </w:style>
  <w:style w:type="character" w:styleId="823">
    <w:name w:val="Heading 2 Char"/>
    <w:link w:val="822"/>
    <w:uiPriority w:val="9"/>
    <w:rPr>
      <w:rFonts w:ascii="Arial" w:hAnsi="Arial" w:eastAsia="Arial" w:cs="Arial"/>
      <w:sz w:val="34"/>
    </w:rPr>
  </w:style>
  <w:style w:type="paragraph" w:styleId="824">
    <w:name w:val="Heading 3"/>
    <w:basedOn w:val="998"/>
    <w:next w:val="998"/>
    <w:link w:val="825"/>
    <w:uiPriority w:val="9"/>
    <w:unhideWhenUsed/>
    <w:qFormat/>
    <w:pPr>
      <w:keepLines/>
      <w:keepNext/>
      <w:spacing w:before="320" w:after="200"/>
      <w:outlineLvl w:val="2"/>
    </w:pPr>
    <w:rPr>
      <w:rFonts w:ascii="Arial" w:hAnsi="Arial" w:eastAsia="Arial" w:cs="Arial"/>
      <w:sz w:val="30"/>
      <w:szCs w:val="30"/>
    </w:rPr>
  </w:style>
  <w:style w:type="character" w:styleId="825">
    <w:name w:val="Heading 3 Char"/>
    <w:link w:val="824"/>
    <w:uiPriority w:val="9"/>
    <w:rPr>
      <w:rFonts w:ascii="Arial" w:hAnsi="Arial" w:eastAsia="Arial" w:cs="Arial"/>
      <w:sz w:val="30"/>
      <w:szCs w:val="30"/>
    </w:rPr>
  </w:style>
  <w:style w:type="paragraph" w:styleId="826">
    <w:name w:val="Heading 4"/>
    <w:basedOn w:val="998"/>
    <w:next w:val="998"/>
    <w:link w:val="827"/>
    <w:uiPriority w:val="9"/>
    <w:unhideWhenUsed/>
    <w:qFormat/>
    <w:pPr>
      <w:keepLines/>
      <w:keepNext/>
      <w:spacing w:before="320" w:after="200"/>
      <w:outlineLvl w:val="3"/>
    </w:pPr>
    <w:rPr>
      <w:rFonts w:ascii="Arial" w:hAnsi="Arial" w:eastAsia="Arial" w:cs="Arial"/>
      <w:b/>
      <w:bCs/>
      <w:sz w:val="26"/>
      <w:szCs w:val="26"/>
    </w:rPr>
  </w:style>
  <w:style w:type="character" w:styleId="827">
    <w:name w:val="Heading 4 Char"/>
    <w:link w:val="826"/>
    <w:uiPriority w:val="9"/>
    <w:rPr>
      <w:rFonts w:ascii="Arial" w:hAnsi="Arial" w:eastAsia="Arial" w:cs="Arial"/>
      <w:b/>
      <w:bCs/>
      <w:sz w:val="26"/>
      <w:szCs w:val="26"/>
    </w:rPr>
  </w:style>
  <w:style w:type="paragraph" w:styleId="828">
    <w:name w:val="Heading 5"/>
    <w:basedOn w:val="998"/>
    <w:next w:val="998"/>
    <w:link w:val="829"/>
    <w:uiPriority w:val="9"/>
    <w:unhideWhenUsed/>
    <w:qFormat/>
    <w:pPr>
      <w:keepLines/>
      <w:keepNext/>
      <w:spacing w:before="320" w:after="200"/>
      <w:outlineLvl w:val="4"/>
    </w:pPr>
    <w:rPr>
      <w:rFonts w:ascii="Arial" w:hAnsi="Arial" w:eastAsia="Arial" w:cs="Arial"/>
      <w:b/>
      <w:bCs/>
      <w:sz w:val="24"/>
      <w:szCs w:val="24"/>
    </w:rPr>
  </w:style>
  <w:style w:type="character" w:styleId="829">
    <w:name w:val="Heading 5 Char"/>
    <w:link w:val="828"/>
    <w:uiPriority w:val="9"/>
    <w:rPr>
      <w:rFonts w:ascii="Arial" w:hAnsi="Arial" w:eastAsia="Arial" w:cs="Arial"/>
      <w:b/>
      <w:bCs/>
      <w:sz w:val="24"/>
      <w:szCs w:val="24"/>
    </w:rPr>
  </w:style>
  <w:style w:type="paragraph" w:styleId="830">
    <w:name w:val="Heading 6"/>
    <w:basedOn w:val="998"/>
    <w:next w:val="998"/>
    <w:link w:val="831"/>
    <w:uiPriority w:val="9"/>
    <w:unhideWhenUsed/>
    <w:qFormat/>
    <w:pPr>
      <w:keepLines/>
      <w:keepNext/>
      <w:spacing w:before="320" w:after="200"/>
      <w:outlineLvl w:val="5"/>
    </w:pPr>
    <w:rPr>
      <w:rFonts w:ascii="Arial" w:hAnsi="Arial" w:eastAsia="Arial" w:cs="Arial"/>
      <w:b/>
      <w:bCs/>
      <w:sz w:val="22"/>
      <w:szCs w:val="22"/>
    </w:rPr>
  </w:style>
  <w:style w:type="character" w:styleId="831">
    <w:name w:val="Heading 6 Char"/>
    <w:link w:val="830"/>
    <w:uiPriority w:val="9"/>
    <w:rPr>
      <w:rFonts w:ascii="Arial" w:hAnsi="Arial" w:eastAsia="Arial" w:cs="Arial"/>
      <w:b/>
      <w:bCs/>
      <w:sz w:val="22"/>
      <w:szCs w:val="22"/>
    </w:rPr>
  </w:style>
  <w:style w:type="paragraph" w:styleId="832">
    <w:name w:val="Heading 7"/>
    <w:basedOn w:val="998"/>
    <w:next w:val="998"/>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link w:val="832"/>
    <w:uiPriority w:val="9"/>
    <w:rPr>
      <w:rFonts w:ascii="Arial" w:hAnsi="Arial" w:eastAsia="Arial" w:cs="Arial"/>
      <w:b/>
      <w:bCs/>
      <w:i/>
      <w:iCs/>
      <w:sz w:val="22"/>
      <w:szCs w:val="22"/>
    </w:rPr>
  </w:style>
  <w:style w:type="paragraph" w:styleId="834">
    <w:name w:val="Heading 8"/>
    <w:basedOn w:val="998"/>
    <w:next w:val="998"/>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link w:val="834"/>
    <w:uiPriority w:val="9"/>
    <w:rPr>
      <w:rFonts w:ascii="Arial" w:hAnsi="Arial" w:eastAsia="Arial" w:cs="Arial"/>
      <w:i/>
      <w:iCs/>
      <w:sz w:val="22"/>
      <w:szCs w:val="22"/>
    </w:rPr>
  </w:style>
  <w:style w:type="paragraph" w:styleId="836">
    <w:name w:val="Heading 9"/>
    <w:basedOn w:val="998"/>
    <w:next w:val="998"/>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link w:val="836"/>
    <w:uiPriority w:val="9"/>
    <w:rPr>
      <w:rFonts w:ascii="Arial" w:hAnsi="Arial" w:eastAsia="Arial" w:cs="Arial"/>
      <w:i/>
      <w:iCs/>
      <w:sz w:val="21"/>
      <w:szCs w:val="21"/>
    </w:rPr>
  </w:style>
  <w:style w:type="paragraph" w:styleId="838">
    <w:name w:val="List Paragraph"/>
    <w:basedOn w:val="998"/>
    <w:uiPriority w:val="34"/>
    <w:qFormat/>
    <w:pPr>
      <w:contextualSpacing/>
      <w:ind w:left="720"/>
    </w:pPr>
  </w:style>
  <w:style w:type="paragraph" w:styleId="839">
    <w:name w:val="No Spacing"/>
    <w:uiPriority w:val="1"/>
    <w:qFormat/>
    <w:pPr>
      <w:spacing w:before="0" w:after="0" w:line="240" w:lineRule="auto"/>
    </w:pPr>
  </w:style>
  <w:style w:type="paragraph" w:styleId="840">
    <w:name w:val="Title"/>
    <w:basedOn w:val="998"/>
    <w:next w:val="998"/>
    <w:link w:val="841"/>
    <w:uiPriority w:val="10"/>
    <w:qFormat/>
    <w:pPr>
      <w:contextualSpacing/>
      <w:spacing w:before="300" w:after="200"/>
    </w:pPr>
    <w:rPr>
      <w:sz w:val="48"/>
      <w:szCs w:val="48"/>
    </w:rPr>
  </w:style>
  <w:style w:type="character" w:styleId="841">
    <w:name w:val="Title Char"/>
    <w:link w:val="840"/>
    <w:uiPriority w:val="10"/>
    <w:rPr>
      <w:sz w:val="48"/>
      <w:szCs w:val="48"/>
    </w:rPr>
  </w:style>
  <w:style w:type="paragraph" w:styleId="842">
    <w:name w:val="Subtitle"/>
    <w:basedOn w:val="998"/>
    <w:next w:val="998"/>
    <w:link w:val="843"/>
    <w:uiPriority w:val="11"/>
    <w:qFormat/>
    <w:pPr>
      <w:spacing w:before="200" w:after="200"/>
    </w:pPr>
    <w:rPr>
      <w:sz w:val="24"/>
      <w:szCs w:val="24"/>
    </w:rPr>
  </w:style>
  <w:style w:type="character" w:styleId="843">
    <w:name w:val="Subtitle Char"/>
    <w:link w:val="842"/>
    <w:uiPriority w:val="11"/>
    <w:rPr>
      <w:sz w:val="24"/>
      <w:szCs w:val="24"/>
    </w:rPr>
  </w:style>
  <w:style w:type="paragraph" w:styleId="844">
    <w:name w:val="Quote"/>
    <w:basedOn w:val="998"/>
    <w:next w:val="998"/>
    <w:link w:val="845"/>
    <w:uiPriority w:val="29"/>
    <w:qFormat/>
    <w:pPr>
      <w:ind w:left="720" w:right="720"/>
    </w:pPr>
    <w:rPr>
      <w:i/>
    </w:rPr>
  </w:style>
  <w:style w:type="character" w:styleId="845">
    <w:name w:val="Quote Char"/>
    <w:link w:val="844"/>
    <w:uiPriority w:val="29"/>
    <w:rPr>
      <w:i/>
    </w:rPr>
  </w:style>
  <w:style w:type="paragraph" w:styleId="846">
    <w:name w:val="Intense Quote"/>
    <w:basedOn w:val="998"/>
    <w:next w:val="998"/>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paragraph" w:styleId="848">
    <w:name w:val="Header"/>
    <w:basedOn w:val="998"/>
    <w:link w:val="849"/>
    <w:uiPriority w:val="99"/>
    <w:unhideWhenUsed/>
    <w:pPr>
      <w:spacing w:after="0" w:line="240" w:lineRule="auto"/>
      <w:tabs>
        <w:tab w:val="center" w:pos="7143" w:leader="none"/>
        <w:tab w:val="right" w:pos="14287" w:leader="none"/>
      </w:tabs>
    </w:pPr>
  </w:style>
  <w:style w:type="character" w:styleId="849">
    <w:name w:val="Header Char"/>
    <w:link w:val="848"/>
    <w:uiPriority w:val="99"/>
  </w:style>
  <w:style w:type="paragraph" w:styleId="850">
    <w:name w:val="Footer"/>
    <w:basedOn w:val="998"/>
    <w:link w:val="853"/>
    <w:uiPriority w:val="99"/>
    <w:unhideWhenUsed/>
    <w:pPr>
      <w:spacing w:after="0" w:line="240" w:lineRule="auto"/>
      <w:tabs>
        <w:tab w:val="center" w:pos="7143" w:leader="none"/>
        <w:tab w:val="right" w:pos="14287" w:leader="none"/>
      </w:tabs>
    </w:pPr>
  </w:style>
  <w:style w:type="character" w:styleId="851">
    <w:name w:val="Footer Char"/>
    <w:link w:val="850"/>
    <w:uiPriority w:val="99"/>
  </w:style>
  <w:style w:type="paragraph" w:styleId="852">
    <w:name w:val="Caption"/>
    <w:basedOn w:val="998"/>
    <w:next w:val="998"/>
    <w:uiPriority w:val="35"/>
    <w:semiHidden/>
    <w:unhideWhenUsed/>
    <w:qFormat/>
    <w:pPr>
      <w:spacing w:line="276" w:lineRule="auto"/>
    </w:pPr>
    <w:rPr>
      <w:b/>
      <w:bCs/>
      <w:color w:val="4f81bd" w:themeColor="accent1"/>
      <w:sz w:val="18"/>
      <w:szCs w:val="18"/>
    </w:rPr>
  </w:style>
  <w:style w:type="character" w:styleId="853">
    <w:name w:val="Caption Char"/>
    <w:basedOn w:val="852"/>
    <w:link w:val="850"/>
    <w:uiPriority w:val="99"/>
  </w:style>
  <w:style w:type="table" w:styleId="8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0">
    <w:name w:val="Hyperlink"/>
    <w:uiPriority w:val="99"/>
    <w:unhideWhenUsed/>
    <w:rPr>
      <w:color w:val="0000ff" w:themeColor="hyperlink"/>
      <w:u w:val="single"/>
    </w:rPr>
  </w:style>
  <w:style w:type="paragraph" w:styleId="981">
    <w:name w:val="footnote text"/>
    <w:basedOn w:val="998"/>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uiPriority w:val="99"/>
    <w:unhideWhenUsed/>
    <w:rPr>
      <w:vertAlign w:val="superscript"/>
    </w:rPr>
  </w:style>
  <w:style w:type="paragraph" w:styleId="984">
    <w:name w:val="endnote text"/>
    <w:basedOn w:val="998"/>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uiPriority w:val="99"/>
    <w:semiHidden/>
    <w:unhideWhenUsed/>
    <w:rPr>
      <w:vertAlign w:val="superscript"/>
    </w:rPr>
  </w:style>
  <w:style w:type="paragraph" w:styleId="987">
    <w:name w:val="toc 1"/>
    <w:basedOn w:val="998"/>
    <w:next w:val="998"/>
    <w:uiPriority w:val="39"/>
    <w:unhideWhenUsed/>
    <w:pPr>
      <w:ind w:left="0" w:right="0" w:firstLine="0"/>
      <w:spacing w:after="57"/>
    </w:pPr>
  </w:style>
  <w:style w:type="paragraph" w:styleId="988">
    <w:name w:val="toc 2"/>
    <w:basedOn w:val="998"/>
    <w:next w:val="998"/>
    <w:uiPriority w:val="39"/>
    <w:unhideWhenUsed/>
    <w:pPr>
      <w:ind w:left="283" w:right="0" w:firstLine="0"/>
      <w:spacing w:after="57"/>
    </w:pPr>
  </w:style>
  <w:style w:type="paragraph" w:styleId="989">
    <w:name w:val="toc 3"/>
    <w:basedOn w:val="998"/>
    <w:next w:val="998"/>
    <w:uiPriority w:val="39"/>
    <w:unhideWhenUsed/>
    <w:pPr>
      <w:ind w:left="567" w:right="0" w:firstLine="0"/>
      <w:spacing w:after="57"/>
    </w:pPr>
  </w:style>
  <w:style w:type="paragraph" w:styleId="990">
    <w:name w:val="toc 4"/>
    <w:basedOn w:val="998"/>
    <w:next w:val="998"/>
    <w:uiPriority w:val="39"/>
    <w:unhideWhenUsed/>
    <w:pPr>
      <w:ind w:left="850" w:right="0" w:firstLine="0"/>
      <w:spacing w:after="57"/>
    </w:pPr>
  </w:style>
  <w:style w:type="paragraph" w:styleId="991">
    <w:name w:val="toc 5"/>
    <w:basedOn w:val="998"/>
    <w:next w:val="998"/>
    <w:uiPriority w:val="39"/>
    <w:unhideWhenUsed/>
    <w:pPr>
      <w:ind w:left="1134" w:right="0" w:firstLine="0"/>
      <w:spacing w:after="57"/>
    </w:pPr>
  </w:style>
  <w:style w:type="paragraph" w:styleId="992">
    <w:name w:val="toc 6"/>
    <w:basedOn w:val="998"/>
    <w:next w:val="998"/>
    <w:uiPriority w:val="39"/>
    <w:unhideWhenUsed/>
    <w:pPr>
      <w:ind w:left="1417" w:right="0" w:firstLine="0"/>
      <w:spacing w:after="57"/>
    </w:pPr>
  </w:style>
  <w:style w:type="paragraph" w:styleId="993">
    <w:name w:val="toc 7"/>
    <w:basedOn w:val="998"/>
    <w:next w:val="998"/>
    <w:uiPriority w:val="39"/>
    <w:unhideWhenUsed/>
    <w:pPr>
      <w:ind w:left="1701" w:right="0" w:firstLine="0"/>
      <w:spacing w:after="57"/>
    </w:pPr>
  </w:style>
  <w:style w:type="paragraph" w:styleId="994">
    <w:name w:val="toc 8"/>
    <w:basedOn w:val="998"/>
    <w:next w:val="998"/>
    <w:uiPriority w:val="39"/>
    <w:unhideWhenUsed/>
    <w:pPr>
      <w:ind w:left="1984" w:right="0" w:firstLine="0"/>
      <w:spacing w:after="57"/>
    </w:pPr>
  </w:style>
  <w:style w:type="paragraph" w:styleId="995">
    <w:name w:val="toc 9"/>
    <w:basedOn w:val="998"/>
    <w:next w:val="998"/>
    <w:uiPriority w:val="39"/>
    <w:unhideWhenUsed/>
    <w:pPr>
      <w:ind w:left="2268" w:right="0" w:firstLine="0"/>
      <w:spacing w:after="57"/>
    </w:p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0"/>
    <w:link w:val="998"/>
    <w:qFormat/>
    <w:pPr>
      <w:jc w:val="both"/>
      <w:widowControl w:val="off"/>
    </w:pPr>
    <w:rPr>
      <w:rFonts w:ascii="Times New Roman" w:hAnsi="Times New Roman"/>
      <w:sz w:val="21"/>
      <w:szCs w:val="21"/>
      <w:lang w:val="en-US" w:eastAsia="zh-CN" w:bidi="ar-SA"/>
    </w:rPr>
  </w:style>
  <w:style w:type="paragraph" w:styleId="999">
    <w:name w:val="标题 1"/>
    <w:basedOn w:val="998"/>
    <w:next w:val="998"/>
    <w:link w:val="1012"/>
    <w:qFormat/>
    <w:pPr>
      <w:jc w:val="center"/>
      <w:keepNext/>
      <w:outlineLvl w:val="0"/>
    </w:pPr>
    <w:rPr>
      <w:rFonts w:ascii="楷体_GB2312" w:eastAsia="楷体_GB2312"/>
      <w:sz w:val="28"/>
      <w:szCs w:val="28"/>
    </w:rPr>
  </w:style>
  <w:style w:type="paragraph" w:styleId="1000">
    <w:name w:val="标题 2"/>
    <w:basedOn w:val="998"/>
    <w:next w:val="1014"/>
    <w:link w:val="1013"/>
    <w:qFormat/>
    <w:pPr>
      <w:jc w:val="center"/>
      <w:keepLines/>
      <w:keepNext/>
      <w:spacing w:before="260" w:after="260" w:line="416" w:lineRule="auto"/>
      <w:outlineLvl w:val="1"/>
    </w:pPr>
    <w:rPr>
      <w:rFonts w:ascii="Arial" w:hAnsi="Arial" w:eastAsia="幼圆" w:cs="Arial"/>
      <w:b/>
      <w:bCs/>
      <w:sz w:val="44"/>
      <w:szCs w:val="44"/>
    </w:rPr>
  </w:style>
  <w:style w:type="paragraph" w:styleId="1001">
    <w:name w:val="标题 3"/>
    <w:basedOn w:val="998"/>
    <w:next w:val="1014"/>
    <w:link w:val="1016"/>
    <w:qFormat/>
    <w:pPr>
      <w:keepLines/>
      <w:keepNext/>
      <w:spacing w:before="260" w:after="260" w:line="416" w:lineRule="auto"/>
      <w:outlineLvl w:val="2"/>
    </w:pPr>
    <w:rPr>
      <w:b/>
      <w:bCs/>
      <w:sz w:val="32"/>
      <w:szCs w:val="32"/>
    </w:rPr>
  </w:style>
  <w:style w:type="paragraph" w:styleId="1002">
    <w:name w:val="标题 4"/>
    <w:basedOn w:val="998"/>
    <w:next w:val="1014"/>
    <w:link w:val="1017"/>
    <w:qFormat/>
    <w:pPr>
      <w:keepLines/>
      <w:keepNext/>
      <w:spacing w:before="280" w:after="290" w:line="376" w:lineRule="auto"/>
      <w:outlineLvl w:val="3"/>
    </w:pPr>
    <w:rPr>
      <w:rFonts w:ascii="Arial" w:hAnsi="Arial" w:eastAsia="黑体" w:cs="Arial"/>
      <w:b/>
      <w:bCs/>
      <w:sz w:val="28"/>
      <w:szCs w:val="28"/>
    </w:rPr>
  </w:style>
  <w:style w:type="paragraph" w:styleId="1003">
    <w:name w:val="标题 5"/>
    <w:basedOn w:val="998"/>
    <w:next w:val="1014"/>
    <w:link w:val="1018"/>
    <w:qFormat/>
    <w:pPr>
      <w:keepNext/>
      <w:outlineLvl w:val="4"/>
    </w:pPr>
    <w:rPr>
      <w:rFonts w:ascii="宋体"/>
      <w:color w:val="000000"/>
      <w:sz w:val="28"/>
      <w:szCs w:val="28"/>
    </w:rPr>
  </w:style>
  <w:style w:type="paragraph" w:styleId="1004">
    <w:name w:val="标题 6"/>
    <w:basedOn w:val="998"/>
    <w:next w:val="998"/>
    <w:link w:val="101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5">
    <w:name w:val="标题 7"/>
    <w:basedOn w:val="998"/>
    <w:next w:val="998"/>
    <w:link w:val="1020"/>
    <w:qFormat/>
    <w:pPr>
      <w:numPr>
        <w:ilvl w:val="6"/>
        <w:numId w:val="1"/>
      </w:numPr>
      <w:keepLines/>
      <w:keepNext/>
      <w:spacing w:before="240" w:after="64" w:line="320" w:lineRule="auto"/>
      <w:outlineLvl w:val="6"/>
    </w:pPr>
    <w:rPr>
      <w:b/>
      <w:bCs/>
      <w:sz w:val="24"/>
      <w:szCs w:val="24"/>
    </w:rPr>
  </w:style>
  <w:style w:type="paragraph" w:styleId="1006">
    <w:name w:val="标题 8"/>
    <w:basedOn w:val="998"/>
    <w:next w:val="998"/>
    <w:link w:val="1021"/>
    <w:qFormat/>
    <w:pPr>
      <w:numPr>
        <w:ilvl w:val="7"/>
        <w:numId w:val="1"/>
      </w:numPr>
      <w:keepLines/>
      <w:keepNext/>
      <w:spacing w:before="240" w:after="64" w:line="320" w:lineRule="auto"/>
      <w:outlineLvl w:val="7"/>
    </w:pPr>
    <w:rPr>
      <w:rFonts w:ascii="Arial" w:hAnsi="Arial" w:eastAsia="黑体"/>
      <w:sz w:val="24"/>
      <w:szCs w:val="24"/>
    </w:rPr>
  </w:style>
  <w:style w:type="paragraph" w:styleId="1007">
    <w:name w:val="标题 9"/>
    <w:basedOn w:val="998"/>
    <w:next w:val="998"/>
    <w:link w:val="1022"/>
    <w:qFormat/>
    <w:pPr>
      <w:numPr>
        <w:ilvl w:val="8"/>
        <w:numId w:val="1"/>
      </w:numPr>
      <w:keepLines/>
      <w:keepNext/>
      <w:spacing w:before="240" w:after="64" w:line="320" w:lineRule="auto"/>
      <w:outlineLvl w:val="8"/>
    </w:pPr>
    <w:rPr>
      <w:rFonts w:ascii="Arial" w:hAnsi="Arial" w:eastAsia="黑体"/>
    </w:rPr>
  </w:style>
  <w:style w:type="character" w:styleId="1008">
    <w:name w:val="默认段落字体"/>
    <w:next w:val="1008"/>
    <w:link w:val="998"/>
    <w:uiPriority w:val="1"/>
    <w:unhideWhenUsed/>
  </w:style>
  <w:style w:type="table" w:styleId="1009">
    <w:name w:val="普通表格"/>
    <w:next w:val="1009"/>
    <w:link w:val="998"/>
    <w:uiPriority w:val="99"/>
    <w:unhideWhenUsed/>
    <w:tblPr/>
  </w:style>
  <w:style w:type="paragraph" w:styleId="1010">
    <w:name w:val="正文首行缩进 21"/>
    <w:basedOn w:val="1011"/>
    <w:next w:val="1010"/>
    <w:link w:val="998"/>
    <w:qFormat/>
    <w:pPr>
      <w:ind w:left="0" w:firstLine="420"/>
      <w:spacing w:after="0" w:line="360" w:lineRule="auto"/>
    </w:pPr>
    <w:rPr>
      <w:rFonts w:ascii="宋体" w:hAnsi="宋体"/>
      <w:sz w:val="20"/>
      <w:szCs w:val="20"/>
      <w:lang w:eastAsia="en-US"/>
    </w:rPr>
  </w:style>
  <w:style w:type="paragraph" w:styleId="1011">
    <w:name w:val="正文文本缩进1"/>
    <w:basedOn w:val="998"/>
    <w:next w:val="1011"/>
    <w:link w:val="998"/>
    <w:uiPriority w:val="99"/>
    <w:unhideWhenUsed/>
    <w:qFormat/>
    <w:pPr>
      <w:ind w:left="420"/>
      <w:spacing w:after="120"/>
    </w:pPr>
  </w:style>
  <w:style w:type="character" w:styleId="1012">
    <w:name w:val="标题 1 Char"/>
    <w:next w:val="1012"/>
    <w:link w:val="999"/>
    <w:rPr>
      <w:rFonts w:ascii="楷体_GB2312" w:hAnsi="Times New Roman" w:eastAsia="楷体_GB2312" w:cs="Times New Roman"/>
      <w:sz w:val="28"/>
      <w:szCs w:val="28"/>
    </w:rPr>
  </w:style>
  <w:style w:type="character" w:styleId="1013">
    <w:name w:val="标题 2 Char"/>
    <w:next w:val="1013"/>
    <w:link w:val="1000"/>
    <w:rPr>
      <w:rFonts w:ascii="Arial" w:hAnsi="Arial" w:eastAsia="幼圆" w:cs="Arial"/>
      <w:b/>
      <w:bCs/>
      <w:sz w:val="44"/>
      <w:szCs w:val="44"/>
    </w:rPr>
  </w:style>
  <w:style w:type="paragraph" w:styleId="1014">
    <w:name w:val="正文缩进"/>
    <w:basedOn w:val="998"/>
    <w:next w:val="1014"/>
    <w:link w:val="1015"/>
    <w:pPr>
      <w:ind w:firstLine="420"/>
    </w:pPr>
  </w:style>
  <w:style w:type="character" w:styleId="1015">
    <w:name w:val="正文缩进 Char"/>
    <w:next w:val="1015"/>
    <w:link w:val="1014"/>
    <w:rPr>
      <w:rFonts w:ascii="Times New Roman" w:hAnsi="Times New Roman" w:eastAsia="宋体" w:cs="Times New Roman"/>
      <w:szCs w:val="21"/>
    </w:rPr>
  </w:style>
  <w:style w:type="character" w:styleId="1016">
    <w:name w:val="标题 3 Char"/>
    <w:next w:val="1016"/>
    <w:link w:val="1001"/>
    <w:rPr>
      <w:rFonts w:ascii="Times New Roman" w:hAnsi="Times New Roman" w:eastAsia="宋体" w:cs="Times New Roman"/>
      <w:b/>
      <w:bCs/>
      <w:sz w:val="32"/>
      <w:szCs w:val="32"/>
    </w:rPr>
  </w:style>
  <w:style w:type="character" w:styleId="1017">
    <w:name w:val="标题 4 Char"/>
    <w:next w:val="1017"/>
    <w:link w:val="1002"/>
    <w:rPr>
      <w:rFonts w:ascii="Arial" w:hAnsi="Arial" w:eastAsia="黑体" w:cs="Arial"/>
      <w:b/>
      <w:bCs/>
      <w:sz w:val="28"/>
      <w:szCs w:val="28"/>
    </w:rPr>
  </w:style>
  <w:style w:type="character" w:styleId="1018">
    <w:name w:val="标题 5 Char"/>
    <w:next w:val="1018"/>
    <w:link w:val="1003"/>
    <w:rPr>
      <w:rFonts w:ascii="宋体" w:hAnsi="Times New Roman" w:eastAsia="宋体" w:cs="Times New Roman"/>
      <w:color w:val="000000"/>
      <w:sz w:val="28"/>
      <w:szCs w:val="28"/>
    </w:rPr>
  </w:style>
  <w:style w:type="character" w:styleId="1019">
    <w:name w:val="标题 6 Char"/>
    <w:next w:val="1019"/>
    <w:link w:val="1004"/>
    <w:rPr>
      <w:rFonts w:ascii="Arial" w:hAnsi="Arial" w:eastAsia="黑体" w:cs="Times New Roman"/>
      <w:b/>
      <w:bCs/>
      <w:sz w:val="24"/>
      <w:szCs w:val="24"/>
    </w:rPr>
  </w:style>
  <w:style w:type="character" w:styleId="1020">
    <w:name w:val="标题 7 Char"/>
    <w:next w:val="1020"/>
    <w:link w:val="1005"/>
    <w:rPr>
      <w:rFonts w:ascii="Times New Roman" w:hAnsi="Times New Roman" w:eastAsia="宋体" w:cs="Times New Roman"/>
      <w:b/>
      <w:bCs/>
      <w:sz w:val="24"/>
      <w:szCs w:val="24"/>
    </w:rPr>
  </w:style>
  <w:style w:type="character" w:styleId="1021">
    <w:name w:val="标题 8 Char"/>
    <w:next w:val="1021"/>
    <w:link w:val="1006"/>
    <w:rPr>
      <w:rFonts w:ascii="Arial" w:hAnsi="Arial" w:eastAsia="黑体" w:cs="Times New Roman"/>
      <w:sz w:val="24"/>
      <w:szCs w:val="24"/>
    </w:rPr>
  </w:style>
  <w:style w:type="character" w:styleId="1022">
    <w:name w:val="标题 9 Char"/>
    <w:next w:val="1022"/>
    <w:link w:val="1007"/>
    <w:rPr>
      <w:rFonts w:ascii="Arial" w:hAnsi="Arial" w:eastAsia="黑体" w:cs="Times New Roman"/>
      <w:szCs w:val="21"/>
    </w:rPr>
  </w:style>
  <w:style w:type="paragraph" w:styleId="1023">
    <w:name w:val="列表 3"/>
    <w:basedOn w:val="998"/>
    <w:next w:val="1023"/>
    <w:link w:val="998"/>
    <w:pPr>
      <w:ind w:left="100" w:hanging="200"/>
    </w:pPr>
  </w:style>
  <w:style w:type="paragraph" w:styleId="1024">
    <w:name w:val="目录 7"/>
    <w:basedOn w:val="998"/>
    <w:next w:val="998"/>
    <w:link w:val="998"/>
    <w:semiHidden/>
    <w:pPr>
      <w:ind w:left="1260"/>
      <w:jc w:val="left"/>
    </w:pPr>
  </w:style>
  <w:style w:type="paragraph" w:styleId="1025">
    <w:name w:val="文档结构图"/>
    <w:basedOn w:val="998"/>
    <w:next w:val="1025"/>
    <w:link w:val="1026"/>
    <w:semiHidden/>
    <w:pPr>
      <w:shd w:val="clear" w:color="auto" w:fill="000080"/>
    </w:pPr>
  </w:style>
  <w:style w:type="character" w:styleId="1026">
    <w:name w:val="文档结构图 Char"/>
    <w:next w:val="1026"/>
    <w:link w:val="1025"/>
    <w:semiHidden/>
    <w:rPr>
      <w:rFonts w:ascii="Times New Roman" w:hAnsi="Times New Roman" w:eastAsia="宋体" w:cs="Times New Roman"/>
      <w:szCs w:val="21"/>
      <w:shd w:val="clear" w:color="auto" w:fill="000080"/>
    </w:rPr>
  </w:style>
  <w:style w:type="paragraph" w:styleId="1027">
    <w:name w:val="批注文字"/>
    <w:basedOn w:val="998"/>
    <w:next w:val="1027"/>
    <w:link w:val="1028"/>
    <w:semiHidden/>
    <w:pPr>
      <w:jc w:val="left"/>
    </w:pPr>
  </w:style>
  <w:style w:type="character" w:styleId="1028">
    <w:name w:val="批注文字 Char"/>
    <w:next w:val="1028"/>
    <w:link w:val="1027"/>
    <w:semiHidden/>
    <w:rPr>
      <w:rFonts w:ascii="Times New Roman" w:hAnsi="Times New Roman" w:eastAsia="宋体" w:cs="Times New Roman"/>
      <w:szCs w:val="21"/>
    </w:rPr>
  </w:style>
  <w:style w:type="paragraph" w:styleId="1029">
    <w:name w:val="正文文本 3"/>
    <w:basedOn w:val="998"/>
    <w:next w:val="1029"/>
    <w:link w:val="1030"/>
    <w:rPr>
      <w:rFonts w:ascii="仿宋_GB2312" w:hAnsi="Arial" w:eastAsia="仿宋_GB2312"/>
      <w:sz w:val="32"/>
      <w:szCs w:val="32"/>
    </w:rPr>
  </w:style>
  <w:style w:type="character" w:styleId="1030">
    <w:name w:val="正文文本 3 Char"/>
    <w:next w:val="1030"/>
    <w:link w:val="1029"/>
    <w:rPr>
      <w:rFonts w:ascii="仿宋_GB2312" w:hAnsi="Arial" w:eastAsia="仿宋_GB2312" w:cs="Times New Roman"/>
      <w:sz w:val="32"/>
      <w:szCs w:val="32"/>
    </w:rPr>
  </w:style>
  <w:style w:type="paragraph" w:styleId="1031">
    <w:name w:val="正文文本"/>
    <w:basedOn w:val="998"/>
    <w:next w:val="998"/>
    <w:link w:val="1032"/>
    <w:rPr>
      <w:rFonts w:ascii="楷体_GB2312" w:hAnsi="Arial" w:eastAsia="楷体_GB2312"/>
      <w:sz w:val="28"/>
      <w:szCs w:val="28"/>
    </w:rPr>
  </w:style>
  <w:style w:type="character" w:styleId="1032">
    <w:name w:val="正文文本 Char"/>
    <w:next w:val="1032"/>
    <w:link w:val="1031"/>
    <w:rPr>
      <w:rFonts w:ascii="楷体_GB2312" w:hAnsi="Arial" w:eastAsia="楷体_GB2312" w:cs="Times New Roman"/>
      <w:sz w:val="28"/>
      <w:szCs w:val="28"/>
    </w:rPr>
  </w:style>
  <w:style w:type="paragraph" w:styleId="1033">
    <w:name w:val="正文文本缩进"/>
    <w:basedOn w:val="998"/>
    <w:next w:val="1033"/>
    <w:link w:val="1034"/>
    <w:pPr>
      <w:ind w:firstLine="645"/>
    </w:pPr>
    <w:rPr>
      <w:rFonts w:ascii="楷体_GB2312" w:eastAsia="楷体_GB2312"/>
      <w:sz w:val="32"/>
      <w:szCs w:val="32"/>
    </w:rPr>
  </w:style>
  <w:style w:type="character" w:styleId="1034">
    <w:name w:val="正文文本缩进 Char"/>
    <w:next w:val="1034"/>
    <w:link w:val="1033"/>
    <w:rPr>
      <w:rFonts w:ascii="楷体_GB2312" w:hAnsi="Times New Roman" w:eastAsia="楷体_GB2312" w:cs="Times New Roman"/>
      <w:sz w:val="32"/>
      <w:szCs w:val="32"/>
    </w:rPr>
  </w:style>
  <w:style w:type="paragraph" w:styleId="1035">
    <w:name w:val="列表 2"/>
    <w:basedOn w:val="998"/>
    <w:next w:val="1035"/>
    <w:link w:val="998"/>
    <w:pPr>
      <w:ind w:left="100" w:hanging="200"/>
    </w:pPr>
  </w:style>
  <w:style w:type="paragraph" w:styleId="1036">
    <w:name w:val="目录 5"/>
    <w:basedOn w:val="998"/>
    <w:next w:val="998"/>
    <w:link w:val="998"/>
    <w:semiHidden/>
    <w:pPr>
      <w:ind w:left="840"/>
      <w:jc w:val="left"/>
    </w:pPr>
  </w:style>
  <w:style w:type="paragraph" w:styleId="1037">
    <w:name w:val="目录 3"/>
    <w:basedOn w:val="998"/>
    <w:next w:val="998"/>
    <w:link w:val="998"/>
    <w:semiHidden/>
    <w:pPr>
      <w:ind w:left="420"/>
      <w:jc w:val="left"/>
    </w:pPr>
    <w:rPr>
      <w:i/>
      <w:iCs/>
      <w:szCs w:val="24"/>
    </w:rPr>
  </w:style>
  <w:style w:type="paragraph" w:styleId="1038">
    <w:name w:val="纯文本"/>
    <w:basedOn w:val="998"/>
    <w:next w:val="1038"/>
    <w:link w:val="1039"/>
    <w:rPr>
      <w:rFonts w:ascii="宋体" w:hAnsi="Courier New" w:cs="Courier New"/>
    </w:rPr>
  </w:style>
  <w:style w:type="character" w:styleId="1039">
    <w:name w:val="纯文本 Char"/>
    <w:next w:val="1039"/>
    <w:link w:val="1038"/>
    <w:rPr>
      <w:rFonts w:ascii="宋体" w:hAnsi="Courier New" w:eastAsia="宋体" w:cs="Courier New"/>
      <w:szCs w:val="21"/>
    </w:rPr>
  </w:style>
  <w:style w:type="paragraph" w:styleId="1040">
    <w:name w:val="目录 8"/>
    <w:basedOn w:val="998"/>
    <w:next w:val="998"/>
    <w:link w:val="998"/>
    <w:semiHidden/>
    <w:pPr>
      <w:ind w:left="1470"/>
      <w:jc w:val="left"/>
    </w:pPr>
  </w:style>
  <w:style w:type="paragraph" w:styleId="1041">
    <w:name w:val="日期"/>
    <w:basedOn w:val="998"/>
    <w:next w:val="998"/>
    <w:link w:val="1042"/>
    <w:rPr>
      <w:sz w:val="24"/>
      <w:szCs w:val="24"/>
    </w:rPr>
  </w:style>
  <w:style w:type="character" w:styleId="1042">
    <w:name w:val="日期 Char"/>
    <w:next w:val="1042"/>
    <w:link w:val="1041"/>
    <w:rPr>
      <w:rFonts w:ascii="Times New Roman" w:hAnsi="Times New Roman" w:eastAsia="宋体" w:cs="Times New Roman"/>
      <w:sz w:val="24"/>
      <w:szCs w:val="24"/>
    </w:rPr>
  </w:style>
  <w:style w:type="paragraph" w:styleId="1043">
    <w:name w:val="正文文本缩进 2"/>
    <w:basedOn w:val="998"/>
    <w:next w:val="1043"/>
    <w:link w:val="1044"/>
    <w:pPr>
      <w:ind w:left="630" w:firstLine="645"/>
    </w:pPr>
    <w:rPr>
      <w:rFonts w:ascii="Arial" w:hAnsi="Arial" w:eastAsia="仿宋_GB2312" w:cs="Arial"/>
      <w:sz w:val="32"/>
      <w:szCs w:val="32"/>
    </w:rPr>
  </w:style>
  <w:style w:type="character" w:styleId="1044">
    <w:name w:val="正文文本缩进 2 Char"/>
    <w:next w:val="1044"/>
    <w:link w:val="1043"/>
    <w:rPr>
      <w:rFonts w:ascii="Arial" w:hAnsi="Arial" w:eastAsia="仿宋_GB2312" w:cs="Arial"/>
      <w:sz w:val="32"/>
      <w:szCs w:val="32"/>
    </w:rPr>
  </w:style>
  <w:style w:type="paragraph" w:styleId="1045">
    <w:name w:val="批注框文本"/>
    <w:basedOn w:val="998"/>
    <w:next w:val="1045"/>
    <w:link w:val="1046"/>
    <w:semiHidden/>
    <w:rPr>
      <w:sz w:val="18"/>
      <w:szCs w:val="18"/>
    </w:rPr>
  </w:style>
  <w:style w:type="character" w:styleId="1046">
    <w:name w:val="批注框文本 Char"/>
    <w:next w:val="1046"/>
    <w:link w:val="1045"/>
    <w:semiHidden/>
    <w:rPr>
      <w:rFonts w:ascii="Times New Roman" w:hAnsi="Times New Roman" w:eastAsia="宋体" w:cs="Times New Roman"/>
      <w:sz w:val="18"/>
      <w:szCs w:val="18"/>
    </w:rPr>
  </w:style>
  <w:style w:type="paragraph" w:styleId="1047">
    <w:name w:val="页脚"/>
    <w:basedOn w:val="998"/>
    <w:next w:val="1047"/>
    <w:link w:val="1048"/>
    <w:pPr>
      <w:jc w:val="left"/>
      <w:tabs>
        <w:tab w:val="center" w:pos="4153" w:leader="none"/>
        <w:tab w:val="right" w:pos="8306" w:leader="none"/>
      </w:tabs>
    </w:pPr>
    <w:rPr>
      <w:sz w:val="18"/>
      <w:szCs w:val="18"/>
    </w:rPr>
  </w:style>
  <w:style w:type="character" w:styleId="1048">
    <w:name w:val="页脚 Char"/>
    <w:next w:val="1048"/>
    <w:link w:val="1047"/>
    <w:rPr>
      <w:rFonts w:ascii="Times New Roman" w:hAnsi="Times New Roman" w:eastAsia="宋体" w:cs="Times New Roman"/>
      <w:sz w:val="18"/>
      <w:szCs w:val="18"/>
    </w:rPr>
  </w:style>
  <w:style w:type="paragraph" w:styleId="1049">
    <w:name w:val="页眉"/>
    <w:basedOn w:val="998"/>
    <w:next w:val="1049"/>
    <w:link w:val="1050"/>
    <w:pPr>
      <w:jc w:val="center"/>
      <w:tabs>
        <w:tab w:val="center" w:pos="4153" w:leader="none"/>
        <w:tab w:val="right" w:pos="8306" w:leader="none"/>
      </w:tabs>
      <w:pBdr>
        <w:bottom w:val="single" w:color="000000" w:sz="6" w:space="1"/>
      </w:pBdr>
    </w:pPr>
    <w:rPr>
      <w:sz w:val="18"/>
      <w:szCs w:val="18"/>
    </w:rPr>
  </w:style>
  <w:style w:type="character" w:styleId="1050">
    <w:name w:val="页眉 Char"/>
    <w:next w:val="1050"/>
    <w:link w:val="1049"/>
    <w:rPr>
      <w:rFonts w:ascii="Times New Roman" w:hAnsi="Times New Roman" w:eastAsia="宋体" w:cs="Times New Roman"/>
      <w:sz w:val="18"/>
      <w:szCs w:val="18"/>
    </w:rPr>
  </w:style>
  <w:style w:type="paragraph" w:styleId="1051">
    <w:name w:val="目录 1"/>
    <w:basedOn w:val="998"/>
    <w:next w:val="998"/>
    <w:link w:val="998"/>
    <w:semiHidden/>
    <w:pPr>
      <w:jc w:val="left"/>
      <w:spacing w:before="120" w:after="120" w:line="400" w:lineRule="exact"/>
      <w:tabs>
        <w:tab w:val="right" w:pos="8720" w:leader="dot"/>
      </w:tabs>
    </w:pPr>
    <w:rPr>
      <w:rFonts w:ascii="宋体" w:hAnsi="宋体"/>
      <w:caps/>
      <w:sz w:val="24"/>
      <w:szCs w:val="24"/>
    </w:rPr>
  </w:style>
  <w:style w:type="paragraph" w:styleId="1052">
    <w:name w:val="目录 4"/>
    <w:basedOn w:val="998"/>
    <w:next w:val="998"/>
    <w:link w:val="998"/>
    <w:semiHidden/>
    <w:pPr>
      <w:ind w:left="630"/>
      <w:jc w:val="left"/>
    </w:pPr>
  </w:style>
  <w:style w:type="paragraph" w:styleId="1053">
    <w:name w:val="列表"/>
    <w:basedOn w:val="998"/>
    <w:next w:val="1053"/>
    <w:link w:val="998"/>
    <w:pPr>
      <w:ind w:left="200" w:hanging="200"/>
    </w:pPr>
  </w:style>
  <w:style w:type="paragraph" w:styleId="1054">
    <w:name w:val="目录 6"/>
    <w:basedOn w:val="998"/>
    <w:next w:val="998"/>
    <w:link w:val="998"/>
    <w:semiHidden/>
    <w:pPr>
      <w:ind w:left="1050"/>
      <w:jc w:val="left"/>
    </w:pPr>
  </w:style>
  <w:style w:type="paragraph" w:styleId="1055">
    <w:name w:val="正文文本缩进 3"/>
    <w:basedOn w:val="998"/>
    <w:next w:val="1055"/>
    <w:link w:val="1056"/>
    <w:pPr>
      <w:ind w:left="645" w:firstLine="645"/>
    </w:pPr>
    <w:rPr>
      <w:rFonts w:ascii="Arial" w:hAnsi="Arial" w:eastAsia="仿宋_GB2312" w:cs="Arial"/>
      <w:color w:val="ffff00"/>
      <w:sz w:val="32"/>
      <w:szCs w:val="32"/>
    </w:rPr>
  </w:style>
  <w:style w:type="character" w:styleId="1056">
    <w:name w:val="正文文本缩进 3 Char"/>
    <w:next w:val="1056"/>
    <w:link w:val="1055"/>
    <w:rPr>
      <w:rFonts w:ascii="Arial" w:hAnsi="Arial" w:eastAsia="仿宋_GB2312" w:cs="Arial"/>
      <w:color w:val="ffff00"/>
      <w:sz w:val="32"/>
      <w:szCs w:val="32"/>
    </w:rPr>
  </w:style>
  <w:style w:type="paragraph" w:styleId="1057">
    <w:name w:val="图表目录"/>
    <w:basedOn w:val="998"/>
    <w:next w:val="998"/>
    <w:link w:val="998"/>
    <w:semiHidden/>
    <w:pPr>
      <w:ind w:left="840" w:hanging="420"/>
    </w:pPr>
  </w:style>
  <w:style w:type="paragraph" w:styleId="1058">
    <w:name w:val="目录 2"/>
    <w:basedOn w:val="998"/>
    <w:next w:val="998"/>
    <w:link w:val="998"/>
    <w:semiHidden/>
    <w:pPr>
      <w:ind w:left="210"/>
      <w:jc w:val="left"/>
    </w:pPr>
    <w:rPr>
      <w:smallCaps/>
      <w:szCs w:val="24"/>
    </w:rPr>
  </w:style>
  <w:style w:type="paragraph" w:styleId="1059">
    <w:name w:val="目录 9"/>
    <w:basedOn w:val="998"/>
    <w:next w:val="998"/>
    <w:link w:val="998"/>
    <w:semiHidden/>
    <w:pPr>
      <w:ind w:left="1680"/>
      <w:jc w:val="left"/>
    </w:pPr>
  </w:style>
  <w:style w:type="paragraph" w:styleId="1060">
    <w:name w:val="正文文本 2"/>
    <w:basedOn w:val="998"/>
    <w:next w:val="1060"/>
    <w:link w:val="1061"/>
    <w:pPr>
      <w:jc w:val="center"/>
      <w:widowControl/>
    </w:pPr>
    <w:rPr>
      <w:rFonts w:ascii="楷体_GB2312" w:eastAsia="楷体_GB2312"/>
      <w:sz w:val="28"/>
      <w:szCs w:val="28"/>
    </w:rPr>
  </w:style>
  <w:style w:type="character" w:styleId="1061">
    <w:name w:val="正文文本 2 Char"/>
    <w:next w:val="1061"/>
    <w:link w:val="1060"/>
    <w:rPr>
      <w:rFonts w:ascii="楷体_GB2312" w:hAnsi="Times New Roman" w:eastAsia="楷体_GB2312" w:cs="Times New Roman"/>
      <w:sz w:val="28"/>
      <w:szCs w:val="28"/>
    </w:rPr>
  </w:style>
  <w:style w:type="paragraph" w:styleId="1062">
    <w:name w:val="普通(网站)"/>
    <w:basedOn w:val="998"/>
    <w:next w:val="1062"/>
    <w:link w:val="998"/>
    <w:uiPriority w:val="99"/>
    <w:pPr>
      <w:jc w:val="left"/>
      <w:spacing w:before="100" w:beforeAutospacing="1" w:after="100" w:afterAutospacing="1"/>
      <w:widowControl/>
    </w:pPr>
    <w:rPr>
      <w:rFonts w:ascii="宋体" w:hAnsi="宋体" w:cs="宋体"/>
      <w:sz w:val="24"/>
      <w:szCs w:val="24"/>
    </w:rPr>
  </w:style>
  <w:style w:type="paragraph" w:styleId="1063">
    <w:name w:val="索引 1"/>
    <w:basedOn w:val="998"/>
    <w:next w:val="998"/>
    <w:link w:val="998"/>
    <w:semiHidden/>
    <w:pPr>
      <w:spacing w:line="240" w:lineRule="atLeast"/>
    </w:pPr>
    <w:rPr>
      <w:b/>
      <w:bCs/>
    </w:rPr>
  </w:style>
  <w:style w:type="paragraph" w:styleId="1064">
    <w:name w:val="批注主题"/>
    <w:basedOn w:val="1027"/>
    <w:next w:val="1027"/>
    <w:link w:val="1065"/>
    <w:semiHidden/>
    <w:rPr>
      <w:b/>
      <w:bCs/>
    </w:rPr>
  </w:style>
  <w:style w:type="character" w:styleId="1065">
    <w:name w:val="批注主题 Char"/>
    <w:next w:val="1065"/>
    <w:link w:val="1064"/>
    <w:semiHidden/>
    <w:rPr>
      <w:rFonts w:ascii="Times New Roman" w:hAnsi="Times New Roman" w:eastAsia="宋体" w:cs="Times New Roman"/>
      <w:b/>
      <w:bCs/>
      <w:szCs w:val="21"/>
    </w:rPr>
  </w:style>
  <w:style w:type="paragraph" w:styleId="1066">
    <w:name w:val="正文首行缩进"/>
    <w:basedOn w:val="1031"/>
    <w:next w:val="1066"/>
    <w:link w:val="1067"/>
    <w:pPr>
      <w:ind w:firstLine="200"/>
      <w:spacing w:line="360" w:lineRule="auto"/>
    </w:pPr>
    <w:rPr>
      <w:rFonts w:ascii="仿宋_GB2312" w:eastAsia="仿宋_GB2312"/>
      <w:sz w:val="30"/>
      <w:szCs w:val="30"/>
    </w:rPr>
  </w:style>
  <w:style w:type="character" w:styleId="1067">
    <w:name w:val="正文首行缩进 Char"/>
    <w:next w:val="1067"/>
    <w:link w:val="1066"/>
    <w:rPr>
      <w:rFonts w:ascii="仿宋_GB2312" w:hAnsi="Times New Roman" w:eastAsia="仿宋_GB2312" w:cs="Times New Roman"/>
      <w:sz w:val="30"/>
      <w:szCs w:val="30"/>
    </w:rPr>
  </w:style>
  <w:style w:type="paragraph" w:styleId="1068">
    <w:name w:val="正文首行缩进 2"/>
    <w:basedOn w:val="1033"/>
    <w:next w:val="1068"/>
    <w:link w:val="1069"/>
    <w:pPr>
      <w:ind w:firstLine="420"/>
      <w:spacing w:line="360" w:lineRule="auto"/>
    </w:pPr>
    <w:rPr>
      <w:rFonts w:ascii="宋体" w:hAnsi="宋体" w:eastAsia="宋体"/>
      <w:sz w:val="21"/>
      <w:szCs w:val="20"/>
    </w:rPr>
  </w:style>
  <w:style w:type="character" w:styleId="1069">
    <w:name w:val="正文首行缩进 2 Char"/>
    <w:next w:val="1069"/>
    <w:link w:val="1068"/>
    <w:rPr>
      <w:rFonts w:ascii="宋体" w:hAnsi="宋体" w:eastAsia="宋体" w:cs="Times New Roman"/>
      <w:sz w:val="32"/>
      <w:szCs w:val="20"/>
    </w:rPr>
  </w:style>
  <w:style w:type="table" w:styleId="1070">
    <w:name w:val="网格型"/>
    <w:basedOn w:val="1009"/>
    <w:next w:val="1070"/>
    <w:link w:val="998"/>
    <w:pPr>
      <w:jc w:val="both"/>
      <w:widowControl w:val="off"/>
    </w:pPr>
    <w:rPr>
      <w:rFonts w:ascii="Times New Roman" w:hAnsi="Times New Roman" w:eastAsia="宋体" w:cs="Times New Roman"/>
      <w:sz w:val="20"/>
      <w:szCs w:val="20"/>
    </w:rPr>
    <w:tblPr/>
  </w:style>
  <w:style w:type="character" w:styleId="1071">
    <w:name w:val="要点"/>
    <w:next w:val="1071"/>
    <w:link w:val="998"/>
    <w:qFormat/>
    <w:rPr>
      <w:b/>
      <w:bCs/>
    </w:rPr>
  </w:style>
  <w:style w:type="character" w:styleId="1072">
    <w:name w:val="页码"/>
    <w:next w:val="1072"/>
    <w:link w:val="998"/>
  </w:style>
  <w:style w:type="character" w:styleId="1073">
    <w:name w:val="已访问的超链接"/>
    <w:next w:val="1073"/>
    <w:link w:val="998"/>
    <w:rPr>
      <w:color w:val="800080"/>
      <w:u w:val="single"/>
    </w:rPr>
  </w:style>
  <w:style w:type="character" w:styleId="1074">
    <w:name w:val="超链接"/>
    <w:next w:val="1074"/>
    <w:link w:val="998"/>
    <w:rPr>
      <w:color w:val="0000ff"/>
      <w:u w:val="single"/>
    </w:rPr>
  </w:style>
  <w:style w:type="character" w:styleId="1075">
    <w:name w:val="批注引用"/>
    <w:next w:val="1075"/>
    <w:link w:val="998"/>
    <w:semiHidden/>
    <w:rPr>
      <w:sz w:val="21"/>
      <w:szCs w:val="21"/>
    </w:rPr>
  </w:style>
  <w:style w:type="character" w:styleId="1076">
    <w:name w:val="font21"/>
    <w:next w:val="1076"/>
    <w:link w:val="998"/>
    <w:qFormat/>
    <w:rPr>
      <w:rFonts w:hint="eastAsia" w:ascii="宋体" w:hAnsi="宋体" w:eastAsia="宋体" w:cs="宋体"/>
      <w:color w:val="000000"/>
      <w:sz w:val="21"/>
      <w:szCs w:val="21"/>
      <w:u w:val="none"/>
    </w:rPr>
  </w:style>
  <w:style w:type="character" w:styleId="1077">
    <w:name w:val="font5 Char"/>
    <w:next w:val="1077"/>
    <w:link w:val="998"/>
    <w:rPr>
      <w:rFonts w:ascii="宋体" w:hAnsi="宋体" w:eastAsia="宋体"/>
      <w:sz w:val="28"/>
      <w:szCs w:val="28"/>
      <w:lang w:val="en-US" w:eastAsia="zh-CN" w:bidi="ar-SA"/>
    </w:rPr>
  </w:style>
  <w:style w:type="character" w:styleId="1078">
    <w:name w:val="二级目录 Char"/>
    <w:next w:val="1078"/>
    <w:link w:val="1079"/>
    <w:rPr>
      <w:b/>
      <w:sz w:val="30"/>
      <w:szCs w:val="28"/>
    </w:rPr>
  </w:style>
  <w:style w:type="paragraph" w:styleId="1079">
    <w:name w:val="二级目录"/>
    <w:next w:val="998"/>
    <w:link w:val="1078"/>
    <w:pPr>
      <w:numPr>
        <w:ilvl w:val="0"/>
        <w:numId w:val="2"/>
      </w:numPr>
      <w:tabs>
        <w:tab w:val="left" w:pos="907" w:leader="none"/>
        <w:tab w:val="left" w:pos="1145" w:leader="none"/>
      </w:tabs>
      <w:outlineLvl w:val="1"/>
    </w:pPr>
    <w:rPr>
      <w:b/>
      <w:sz w:val="30"/>
      <w:szCs w:val="28"/>
      <w:lang w:val="en-US" w:eastAsia="zh-CN" w:bidi="ar-SA"/>
    </w:rPr>
  </w:style>
  <w:style w:type="character" w:styleId="1080">
    <w:name w:val="列出段落 Char,Bullet List Char,numbered Char,FooterText Char,List Paragraph1 Char,Paragraphe de liste1 Char"/>
    <w:next w:val="1080"/>
    <w:link w:val="1081"/>
    <w:rPr>
      <w:rFonts w:ascii="Calibri" w:hAnsi="Calibri"/>
      <w:sz w:val="24"/>
      <w:szCs w:val="24"/>
      <w:lang w:eastAsia="en-US" w:bidi="en-US"/>
    </w:rPr>
  </w:style>
  <w:style w:type="paragraph" w:styleId="1081">
    <w:name w:val="列出段落1"/>
    <w:basedOn w:val="998"/>
    <w:next w:val="1081"/>
    <w:link w:val="1080"/>
    <w:qFormat/>
    <w:pPr>
      <w:contextualSpacing/>
      <w:ind w:left="720"/>
      <w:jc w:val="left"/>
      <w:widowControl/>
    </w:pPr>
    <w:rPr>
      <w:rFonts w:ascii="Calibri" w:hAnsi="Calibri" w:eastAsia="宋体" w:cs="Times New Roman"/>
      <w:sz w:val="24"/>
      <w:szCs w:val="24"/>
      <w:lang w:eastAsia="en-US" w:bidi="en-US"/>
    </w:rPr>
  </w:style>
  <w:style w:type="paragraph" w:styleId="1082">
    <w:name w:val="Body Text(ch)"/>
    <w:basedOn w:val="998"/>
    <w:next w:val="1031"/>
    <w:link w:val="998"/>
    <w:pPr>
      <w:spacing w:after="120"/>
    </w:pPr>
    <w:rPr>
      <w:rFonts w:ascii="宋体" w:hAnsi="Arial"/>
      <w:bCs/>
      <w:iCs/>
      <w:szCs w:val="24"/>
    </w:rPr>
  </w:style>
  <w:style w:type="paragraph" w:styleId="1083">
    <w:name w:val="xl27"/>
    <w:basedOn w:val="998"/>
    <w:next w:val="1083"/>
    <w:link w:val="9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6"/>
    <w:basedOn w:val="998"/>
    <w:next w:val="1084"/>
    <w:link w:val="9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name w:val="Char"/>
    <w:basedOn w:val="998"/>
    <w:next w:val="1085"/>
    <w:link w:val="998"/>
    <w:pPr>
      <w:ind w:firstLine="200"/>
      <w:tabs>
        <w:tab w:val="left" w:pos="360" w:leader="none"/>
      </w:tabs>
    </w:pPr>
    <w:rPr>
      <w:sz w:val="28"/>
      <w:szCs w:val="30"/>
    </w:rPr>
  </w:style>
  <w:style w:type="paragraph" w:styleId="1086">
    <w:name w:val=" Char"/>
    <w:basedOn w:val="1025"/>
    <w:next w:val="1086"/>
    <w:link w:val="998"/>
    <w:rPr>
      <w:rFonts w:ascii="Tahoma" w:hAnsi="Tahoma"/>
      <w:sz w:val="24"/>
      <w:szCs w:val="24"/>
    </w:rPr>
  </w:style>
  <w:style w:type="paragraph" w:styleId="1087">
    <w:name w:val="普通正文"/>
    <w:basedOn w:val="998"/>
    <w:next w:val="1087"/>
    <w:link w:val="998"/>
    <w:pPr>
      <w:ind w:firstLine="480"/>
      <w:jc w:val="left"/>
      <w:spacing w:before="120" w:after="120" w:line="360" w:lineRule="auto"/>
    </w:pPr>
    <w:rPr>
      <w:rFonts w:ascii="Arial" w:hAnsi="Arial"/>
      <w:sz w:val="24"/>
      <w:szCs w:val="24"/>
    </w:rPr>
  </w:style>
  <w:style w:type="paragraph" w:styleId="1088">
    <w:name w:val="table_lines"/>
    <w:basedOn w:val="998"/>
    <w:next w:val="1088"/>
    <w:link w:val="998"/>
    <w:pPr>
      <w:jc w:val="left"/>
      <w:widowControl/>
    </w:pPr>
    <w:rPr>
      <w:sz w:val="20"/>
      <w:szCs w:val="20"/>
      <w:lang w:val="de-DE" w:eastAsia="de-DE"/>
    </w:rPr>
  </w:style>
  <w:style w:type="paragraph" w:styleId="1089">
    <w:name w:val="附录1"/>
    <w:next w:val="1089"/>
    <w:link w:val="9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90">
    <w:name w:val="font7"/>
    <w:basedOn w:val="998"/>
    <w:next w:val="1090"/>
    <w:link w:val="998"/>
    <w:pPr>
      <w:jc w:val="left"/>
      <w:spacing w:before="100" w:beforeAutospacing="1" w:after="100" w:afterAutospacing="1"/>
      <w:widowControl/>
    </w:pPr>
    <w:rPr>
      <w:rFonts w:hint="eastAsia" w:ascii="宋体" w:hAnsi="宋体"/>
      <w:sz w:val="18"/>
      <w:szCs w:val="18"/>
    </w:rPr>
  </w:style>
  <w:style w:type="paragraph" w:styleId="1091">
    <w:name w:val=" Char Char Char Char"/>
    <w:basedOn w:val="1025"/>
    <w:next w:val="1091"/>
    <w:link w:val="998"/>
    <w:pPr>
      <w:spacing w:line="360" w:lineRule="auto"/>
    </w:pPr>
    <w:rPr>
      <w:rFonts w:ascii="Tahoma" w:hAnsi="Tahoma"/>
      <w:sz w:val="24"/>
      <w:szCs w:val="24"/>
    </w:rPr>
  </w:style>
  <w:style w:type="paragraph" w:styleId="1092">
    <w:name w:val="列出段落"/>
    <w:basedOn w:val="998"/>
    <w:next w:val="1092"/>
    <w:link w:val="998"/>
    <w:qFormat/>
    <w:pPr>
      <w:contextualSpacing/>
      <w:ind w:left="720"/>
      <w:jc w:val="left"/>
      <w:widowControl/>
    </w:pPr>
    <w:rPr>
      <w:rFonts w:ascii="Calibri" w:hAnsi="Calibri"/>
      <w:sz w:val="24"/>
      <w:szCs w:val="24"/>
      <w:lang w:eastAsia="en-US" w:bidi="en-US"/>
    </w:rPr>
  </w:style>
  <w:style w:type="paragraph" w:styleId="1093">
    <w:name w:val="4"/>
    <w:basedOn w:val="998"/>
    <w:next w:val="1055"/>
    <w:link w:val="998"/>
    <w:pPr>
      <w:ind w:firstLine="420"/>
      <w:spacing w:line="360" w:lineRule="auto"/>
    </w:pPr>
    <w:rPr>
      <w:color w:val="ff0000"/>
      <w:sz w:val="24"/>
      <w:szCs w:val="24"/>
    </w:rPr>
  </w:style>
  <w:style w:type="paragraph" w:styleId="1094">
    <w:name w:val="普通 (Web)"/>
    <w:basedOn w:val="998"/>
    <w:next w:val="1094"/>
    <w:link w:val="998"/>
    <w:pPr>
      <w:jc w:val="left"/>
      <w:spacing w:before="100" w:beforeAutospacing="1" w:after="100" w:afterAutospacing="1"/>
      <w:widowControl/>
    </w:pPr>
    <w:rPr>
      <w:rFonts w:ascii="宋体" w:hAnsi="宋体"/>
      <w:sz w:val="24"/>
      <w:szCs w:val="24"/>
    </w:rPr>
  </w:style>
  <w:style w:type="paragraph" w:styleId="1095">
    <w:name w:val=" Char Char Char Char Char Char Char Char Char Char"/>
    <w:basedOn w:val="998"/>
    <w:next w:val="1095"/>
    <w:link w:val="998"/>
    <w:pPr>
      <w:spacing w:line="360" w:lineRule="auto"/>
    </w:pPr>
    <w:rPr>
      <w:sz w:val="24"/>
      <w:szCs w:val="20"/>
    </w:rPr>
  </w:style>
  <w:style w:type="paragraph" w:styleId="1096">
    <w:name w:val="样式1"/>
    <w:basedOn w:val="998"/>
    <w:next w:val="1096"/>
    <w:link w:val="998"/>
    <w:pPr>
      <w:numPr>
        <w:ilvl w:val="0"/>
        <w:numId w:val="3"/>
      </w:numPr>
      <w:tabs>
        <w:tab w:val="left" w:pos="709" w:leader="none"/>
      </w:tabs>
    </w:pPr>
    <w:rPr>
      <w:rFonts w:ascii="宋体" w:hAnsi="宋体"/>
    </w:rPr>
  </w:style>
  <w:style w:type="paragraph" w:styleId="1097">
    <w:name w:val="font6"/>
    <w:basedOn w:val="998"/>
    <w:next w:val="1097"/>
    <w:link w:val="998"/>
    <w:pPr>
      <w:jc w:val="left"/>
      <w:spacing w:before="100" w:beforeAutospacing="1" w:after="100" w:afterAutospacing="1"/>
      <w:widowControl/>
    </w:pPr>
    <w:rPr>
      <w:rFonts w:hint="eastAsia" w:ascii="宋体" w:hAnsi="宋体"/>
      <w:sz w:val="28"/>
      <w:szCs w:val="28"/>
      <w:u w:val="single"/>
    </w:rPr>
  </w:style>
  <w:style w:type="paragraph" w:styleId="1098">
    <w:name w:val="xl25"/>
    <w:basedOn w:val="998"/>
    <w:next w:val="1098"/>
    <w:link w:val="9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name w:val="图标"/>
    <w:basedOn w:val="998"/>
    <w:next w:val="998"/>
    <w:link w:val="9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标题3"/>
    <w:basedOn w:val="998"/>
    <w:next w:val="998"/>
    <w:link w:val="998"/>
    <w:pPr>
      <w:ind w:firstLine="624"/>
      <w:spacing w:line="590" w:lineRule="atLeast"/>
    </w:pPr>
    <w:rPr>
      <w:rFonts w:ascii="方正黑体_GBK" w:eastAsia="方正黑体_GBK"/>
      <w:sz w:val="32"/>
      <w:szCs w:val="32"/>
    </w:rPr>
  </w:style>
  <w:style w:type="paragraph" w:styleId="1101">
    <w:name w:val="xl24"/>
    <w:basedOn w:val="998"/>
    <w:next w:val="1101"/>
    <w:link w:val="9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xl29"/>
    <w:basedOn w:val="998"/>
    <w:next w:val="1102"/>
    <w:link w:val="9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Char Char Char Char Char Char Char Char"/>
    <w:basedOn w:val="998"/>
    <w:next w:val="1103"/>
    <w:link w:val="998"/>
    <w:pPr>
      <w:jc w:val="left"/>
      <w:spacing w:after="160" w:line="240" w:lineRule="exact"/>
      <w:widowControl/>
    </w:pPr>
    <w:rPr>
      <w:rFonts w:ascii="Verdana" w:hAnsi="Verdana"/>
      <w:sz w:val="20"/>
      <w:szCs w:val="20"/>
      <w:lang w:eastAsia="en-US"/>
    </w:rPr>
  </w:style>
  <w:style w:type="paragraph" w:styleId="1104">
    <w:name w:val="xl28"/>
    <w:basedOn w:val="998"/>
    <w:next w:val="1104"/>
    <w:link w:val="9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 Char Char Char Char Char Char Char Char"/>
    <w:basedOn w:val="998"/>
    <w:next w:val="1105"/>
    <w:link w:val="998"/>
    <w:pPr>
      <w:jc w:val="left"/>
      <w:spacing w:after="160" w:line="240" w:lineRule="exact"/>
      <w:widowControl/>
    </w:pPr>
    <w:rPr>
      <w:rFonts w:ascii="Verdana" w:hAnsi="Verdana"/>
      <w:sz w:val="20"/>
      <w:szCs w:val="20"/>
      <w:lang w:eastAsia="en-US"/>
    </w:rPr>
  </w:style>
  <w:style w:type="paragraph" w:styleId="1106">
    <w:name w:val="xl30"/>
    <w:basedOn w:val="998"/>
    <w:next w:val="1106"/>
    <w:link w:val="998"/>
    <w:pPr>
      <w:jc w:val="center"/>
      <w:spacing w:before="100" w:beforeAutospacing="1" w:after="100" w:afterAutospacing="1"/>
      <w:widowControl/>
    </w:pPr>
    <w:rPr>
      <w:rFonts w:ascii="宋体" w:hAnsi="宋体"/>
      <w:b/>
      <w:bCs/>
      <w:sz w:val="36"/>
      <w:szCs w:val="36"/>
    </w:rPr>
  </w:style>
  <w:style w:type="paragraph" w:styleId="1107">
    <w:name w:val="Char Char Char Char"/>
    <w:basedOn w:val="1025"/>
    <w:next w:val="1107"/>
    <w:link w:val="998"/>
    <w:pPr>
      <w:spacing w:line="360" w:lineRule="auto"/>
    </w:pPr>
    <w:rPr>
      <w:rFonts w:ascii="Tahoma" w:hAnsi="Tahoma"/>
      <w:sz w:val="24"/>
      <w:szCs w:val="24"/>
    </w:rPr>
  </w:style>
  <w:style w:type="paragraph" w:styleId="1108">
    <w:name w:val="table_1stline"/>
    <w:basedOn w:val="998"/>
    <w:next w:val="1108"/>
    <w:link w:val="998"/>
    <w:pPr>
      <w:jc w:val="left"/>
      <w:spacing w:before="120"/>
      <w:widowControl/>
    </w:pPr>
    <w:rPr>
      <w:bCs/>
      <w:sz w:val="20"/>
      <w:szCs w:val="20"/>
      <w:lang w:val="de-DE" w:eastAsia="de-DE"/>
    </w:rPr>
  </w:style>
  <w:style w:type="paragraph" w:styleId="1109">
    <w:name w:val="font5"/>
    <w:basedOn w:val="998"/>
    <w:next w:val="1109"/>
    <w:link w:val="998"/>
    <w:pPr>
      <w:jc w:val="left"/>
      <w:spacing w:before="100" w:beforeAutospacing="1" w:after="100" w:afterAutospacing="1"/>
      <w:widowControl/>
    </w:pPr>
    <w:rPr>
      <w:rFonts w:hint="eastAsia" w:ascii="宋体" w:hAnsi="宋体"/>
      <w:sz w:val="28"/>
      <w:szCs w:val="28"/>
    </w:rPr>
  </w:style>
  <w:style w:type="paragraph" w:styleId="1110">
    <w:name w:val="标题1"/>
    <w:basedOn w:val="998"/>
    <w:next w:val="998"/>
    <w:link w:val="99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修订"/>
    <w:next w:val="1111"/>
    <w:link w:val="998"/>
    <w:uiPriority w:val="99"/>
    <w:semiHidden/>
    <w:rPr>
      <w:rFonts w:ascii="Times New Roman" w:hAnsi="Times New Roman"/>
      <w:sz w:val="21"/>
      <w:szCs w:val="21"/>
      <w:lang w:val="en-US" w:eastAsia="zh-CN" w:bidi="ar-SA"/>
    </w:rPr>
  </w:style>
  <w:style w:type="paragraph" w:styleId="1112">
    <w:name w:val="无间隔"/>
    <w:next w:val="1112"/>
    <w:link w:val="998"/>
    <w:uiPriority w:val="99"/>
    <w:qFormat/>
    <w:pPr>
      <w:jc w:val="both"/>
      <w:widowControl w:val="off"/>
    </w:pPr>
    <w:rPr>
      <w:rFonts w:ascii="Times New Roman" w:hAnsi="Times New Roman"/>
      <w:sz w:val="21"/>
      <w:szCs w:val="21"/>
      <w:lang w:val="en-US" w:eastAsia="zh-CN" w:bidi="ar-SA"/>
    </w:rPr>
  </w:style>
  <w:style w:type="paragraph" w:styleId="1113">
    <w:name w:val="正文缩进1"/>
    <w:basedOn w:val="998"/>
    <w:next w:val="1113"/>
    <w:link w:val="998"/>
    <w:pPr>
      <w:ind w:firstLine="420"/>
    </w:pPr>
  </w:style>
  <w:style w:type="character" w:styleId="1114">
    <w:name w:val="NormalCharacter1"/>
    <w:next w:val="1114"/>
    <w:link w:val="998"/>
    <w:semiHidden/>
    <w:qFormat/>
    <w:rPr>
      <w:rFonts w:ascii="Times New Roman" w:hAnsi="Times New Roman"/>
      <w:sz w:val="21"/>
      <w:szCs w:val="21"/>
      <w:lang w:val="en-US" w:eastAsia="zh-CN" w:bidi="ar-SA"/>
    </w:rPr>
  </w:style>
  <w:style w:type="paragraph" w:styleId="1115">
    <w:name w:val="列表段落"/>
    <w:basedOn w:val="998"/>
    <w:next w:val="1115"/>
    <w:link w:val="998"/>
    <w:uiPriority w:val="34"/>
    <w:qFormat/>
    <w:pPr>
      <w:contextualSpacing/>
      <w:ind w:left="720"/>
      <w:jc w:val="left"/>
      <w:widowControl/>
    </w:pPr>
    <w:rPr>
      <w:rFonts w:ascii="Calibri" w:hAnsi="Calibri"/>
      <w:sz w:val="24"/>
      <w:szCs w:val="24"/>
      <w:lang w:eastAsia="en-US" w:bidi="en-US"/>
    </w:rPr>
  </w:style>
  <w:style w:type="paragraph" w:styleId="1116">
    <w:name w:val="正文文本1"/>
    <w:basedOn w:val="998"/>
    <w:next w:val="998"/>
    <w:link w:val="998"/>
    <w:uiPriority w:val="99"/>
    <w:qFormat/>
    <w:rPr>
      <w:rFonts w:ascii="楷体_GB2312" w:hAnsi="Arial" w:eastAsia="楷体_GB2312"/>
      <w:sz w:val="28"/>
      <w:szCs w:val="28"/>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4</cp:revision>
  <dcterms:created xsi:type="dcterms:W3CDTF">2023-03-16T02:16:00Z</dcterms:created>
  <dcterms:modified xsi:type="dcterms:W3CDTF">2025-11-28T08:29:37Z</dcterms:modified>
</cp:coreProperties>
</file>